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DA9A67">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cs="宋体"/>
          <w:b/>
          <w:bCs/>
          <w:color w:val="auto"/>
          <w:kern w:val="0"/>
          <w:sz w:val="28"/>
          <w:szCs w:val="28"/>
          <w:highlight w:val="none"/>
          <w:lang w:val="en-US" w:eastAsia="zh-CN"/>
        </w:rPr>
      </w:pPr>
      <w:r>
        <w:rPr>
          <w:rFonts w:hint="eastAsia" w:ascii="宋体" w:hAnsi="宋体" w:cs="宋体"/>
          <w:b/>
          <w:bCs/>
          <w:color w:val="auto"/>
          <w:kern w:val="0"/>
          <w:sz w:val="28"/>
          <w:szCs w:val="28"/>
          <w:highlight w:val="none"/>
          <w:lang w:val="en-US" w:eastAsia="zh-CN"/>
        </w:rPr>
        <w:t>黑龙江省 2024年普通国省干线公路危旧桥梁改造项目S207伊牡公路K293+832黄泥河桥施工</w:t>
      </w:r>
    </w:p>
    <w:p w14:paraId="4B08F160">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 xml:space="preserve">招标公告 </w:t>
      </w:r>
    </w:p>
    <w:p w14:paraId="62CEA6C9">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lang w:eastAsia="zh-CN"/>
        </w:rPr>
        <w:t>招标编号：JT0000G241126001001</w:t>
      </w:r>
    </w:p>
    <w:p w14:paraId="560FD7C4">
      <w:pPr>
        <w:spacing w:line="360" w:lineRule="auto"/>
        <w:ind w:firstLine="422" w:firstLineChars="200"/>
        <w:rPr>
          <w:rFonts w:hint="eastAsia" w:ascii="宋体" w:hAnsi="宋体" w:eastAsia="宋体" w:cs="宋体"/>
          <w:color w:val="auto"/>
          <w:sz w:val="21"/>
          <w:szCs w:val="21"/>
          <w:highlight w:val="none"/>
        </w:rPr>
      </w:pPr>
      <w:bookmarkStart w:id="0" w:name="_Toc346694946"/>
      <w:bookmarkEnd w:id="0"/>
      <w:bookmarkStart w:id="1" w:name="_Toc346020352"/>
      <w:bookmarkEnd w:id="1"/>
      <w:bookmarkStart w:id="2" w:name="_Toc354150332"/>
      <w:r>
        <w:rPr>
          <w:rFonts w:hint="eastAsia" w:ascii="宋体" w:hAnsi="宋体" w:eastAsia="宋体" w:cs="宋体"/>
          <w:b/>
          <w:bCs/>
          <w:color w:val="auto"/>
          <w:sz w:val="21"/>
          <w:szCs w:val="21"/>
          <w:highlight w:val="none"/>
        </w:rPr>
        <w:t>一、招标条件</w:t>
      </w:r>
    </w:p>
    <w:p w14:paraId="2C5B058E">
      <w:pPr>
        <w:spacing w:line="360" w:lineRule="auto"/>
        <w:ind w:firstLine="420" w:firstLineChars="200"/>
        <w:rPr>
          <w:rFonts w:ascii="Times New Roman" w:hAnsi="Times New Roman" w:eastAsia="宋体"/>
          <w:color w:val="auto"/>
          <w:szCs w:val="21"/>
          <w:highlight w:val="none"/>
        </w:rPr>
      </w:pPr>
      <w:r>
        <w:rPr>
          <w:rFonts w:hint="eastAsia" w:ascii="宋体" w:hAnsi="宋体" w:eastAsia="宋体" w:cs="宋体"/>
          <w:color w:val="auto"/>
          <w:sz w:val="21"/>
          <w:szCs w:val="21"/>
          <w:highlight w:val="none"/>
          <w:lang w:val="en-US" w:eastAsia="zh-CN"/>
        </w:rPr>
        <w:t>本招标项目</w:t>
      </w:r>
      <w:r>
        <w:rPr>
          <w:rFonts w:hint="eastAsia" w:ascii="宋体" w:hAnsi="宋体" w:eastAsia="宋体" w:cs="宋体"/>
          <w:color w:val="auto"/>
          <w:sz w:val="21"/>
          <w:szCs w:val="21"/>
          <w:highlight w:val="none"/>
          <w:u w:val="single"/>
          <w:lang w:val="en-US" w:eastAsia="zh-CN"/>
        </w:rPr>
        <w:t>黑龙江省 2024年普通国省干线公路危旧桥梁改造项目S207伊牡公路K293+832黄泥河桥施工</w:t>
      </w:r>
      <w:r>
        <w:rPr>
          <w:rFonts w:hint="eastAsia" w:ascii="宋体" w:hAnsi="宋体" w:eastAsia="宋体" w:cs="宋体"/>
          <w:color w:val="auto"/>
          <w:sz w:val="21"/>
          <w:szCs w:val="21"/>
          <w:highlight w:val="none"/>
          <w:lang w:val="en-US" w:eastAsia="zh-CN"/>
        </w:rPr>
        <w:t>施工图设计</w:t>
      </w:r>
      <w:r>
        <w:rPr>
          <w:rFonts w:hint="eastAsia" w:ascii="宋体" w:hAnsi="宋体" w:eastAsia="宋体" w:cs="宋体"/>
          <w:color w:val="auto"/>
          <w:sz w:val="21"/>
          <w:szCs w:val="21"/>
          <w:highlight w:val="none"/>
        </w:rPr>
        <w:t>已由</w:t>
      </w:r>
      <w:r>
        <w:rPr>
          <w:rFonts w:hint="eastAsia" w:ascii="宋体" w:hAnsi="宋体" w:eastAsia="宋体" w:cs="宋体"/>
          <w:color w:val="auto"/>
          <w:sz w:val="21"/>
          <w:szCs w:val="21"/>
          <w:highlight w:val="none"/>
          <w:lang w:eastAsia="zh-CN"/>
        </w:rPr>
        <w:t>黑龙江省交通运输厅</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黑交发【2024】191号</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批复</w:t>
      </w:r>
      <w:r>
        <w:rPr>
          <w:rFonts w:hint="eastAsia" w:ascii="宋体" w:hAnsi="宋体" w:eastAsia="宋体" w:cs="宋体"/>
          <w:color w:val="auto"/>
          <w:sz w:val="21"/>
          <w:szCs w:val="21"/>
          <w:highlight w:val="none"/>
        </w:rPr>
        <w:t>，资金来源为</w:t>
      </w:r>
      <w:r>
        <w:rPr>
          <w:rFonts w:hint="eastAsia" w:ascii="宋体" w:hAnsi="宋体" w:eastAsia="宋体" w:cs="宋体"/>
          <w:color w:val="auto"/>
          <w:sz w:val="21"/>
          <w:szCs w:val="21"/>
          <w:highlight w:val="none"/>
          <w:lang w:val="en-US" w:eastAsia="zh-CN"/>
        </w:rPr>
        <w:t>成品油税费改革转移支付及地方配套资金，项目业主为方正县交通运输局，</w:t>
      </w:r>
      <w:r>
        <w:rPr>
          <w:rFonts w:hint="eastAsia" w:ascii="宋体" w:hAnsi="宋体" w:eastAsia="宋体" w:cs="宋体"/>
          <w:color w:val="auto"/>
          <w:sz w:val="21"/>
          <w:szCs w:val="21"/>
          <w:highlight w:val="none"/>
        </w:rPr>
        <w:t>招标人为</w:t>
      </w:r>
      <w:r>
        <w:rPr>
          <w:rFonts w:hint="eastAsia" w:ascii="宋体" w:hAnsi="宋体" w:eastAsia="宋体" w:cs="宋体"/>
          <w:bCs/>
          <w:color w:val="auto"/>
          <w:sz w:val="21"/>
          <w:szCs w:val="21"/>
          <w:highlight w:val="none"/>
          <w:lang w:val="en-US" w:eastAsia="zh-CN"/>
        </w:rPr>
        <w:t>方正县农村公路建设指挥部办公室</w:t>
      </w:r>
      <w:r>
        <w:rPr>
          <w:rFonts w:hint="eastAsia" w:ascii="宋体" w:hAnsi="宋体" w:eastAsia="宋体" w:cs="宋体"/>
          <w:color w:val="auto"/>
          <w:sz w:val="21"/>
          <w:szCs w:val="21"/>
          <w:highlight w:val="none"/>
          <w:lang w:eastAsia="zh-CN"/>
        </w:rPr>
        <w:t>。</w:t>
      </w:r>
      <w:r>
        <w:rPr>
          <w:color w:val="auto"/>
          <w:szCs w:val="21"/>
          <w:highlight w:val="none"/>
        </w:rPr>
        <w:t>项目已具备招标条件</w:t>
      </w:r>
      <w:r>
        <w:rPr>
          <w:color w:val="auto"/>
          <w:spacing w:val="-32"/>
          <w:szCs w:val="21"/>
          <w:highlight w:val="none"/>
        </w:rPr>
        <w:t>，</w:t>
      </w:r>
      <w:r>
        <w:rPr>
          <w:color w:val="auto"/>
          <w:szCs w:val="21"/>
          <w:highlight w:val="none"/>
        </w:rPr>
        <w:t>现对该项目</w:t>
      </w:r>
      <w:r>
        <w:rPr>
          <w:rFonts w:hint="eastAsia"/>
          <w:color w:val="auto"/>
          <w:szCs w:val="21"/>
          <w:highlight w:val="none"/>
        </w:rPr>
        <w:t>的施工</w:t>
      </w:r>
      <w:r>
        <w:rPr>
          <w:color w:val="auto"/>
          <w:szCs w:val="21"/>
          <w:highlight w:val="none"/>
        </w:rPr>
        <w:t>进行公开招标。</w:t>
      </w:r>
    </w:p>
    <w:p w14:paraId="185F96C9">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二、项目概况与招标范围</w:t>
      </w:r>
    </w:p>
    <w:p w14:paraId="141DBC8D">
      <w:pPr>
        <w:spacing w:line="360" w:lineRule="auto"/>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val="en-US" w:eastAsia="zh-CN"/>
        </w:rPr>
        <w:t>黑龙江省 2024年普通国省干线公路危旧桥梁改造项目S207伊牡公路K293+832黄泥河桥施工</w:t>
      </w:r>
    </w:p>
    <w:p w14:paraId="3222EE7B">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、工程</w:t>
      </w:r>
      <w:r>
        <w:rPr>
          <w:rFonts w:hint="eastAsia" w:ascii="宋体" w:hAnsi="宋体" w:eastAsia="宋体" w:cs="宋体"/>
          <w:color w:val="auto"/>
          <w:sz w:val="21"/>
          <w:szCs w:val="21"/>
          <w:highlight w:val="none"/>
          <w:lang w:eastAsia="zh-CN"/>
        </w:rPr>
        <w:t>概况</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黄泥河桥位于伊春至牡丹江公路(S207)省道上，桥梁现状为10米*2小桥，桥面全宽7米，净宽6米；现对该桥梁拆除重建。新建桥梁中心桩号为K293+832，桥梁全长64.908米，桥宽10米，净9米+2x0.5米SB级金属梁柱式护栏。</w:t>
      </w:r>
    </w:p>
    <w:p w14:paraId="5685B17C">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二级公路标准，设计速度60km/h，设计使用年限为50年，设计安全等级为一级，采用3孔20米预应力混凝土简支转连续小箱梁，桥面铺装采用4厘米AC-16中粒式改性沥青混凝土+6厘米 AC-20中粒式沥青混凝土。下部采用柱式桥墩，柱式桥台，墩台采用钻孔桩基础，锥坡、护坡及基础采用 M10浆砌片石，坡面采用30厘米厚浆砌片石，10厘米厚砂砾垫层，对旧水泥混凝土路面采用推除处理，重新铺筑水稳基层及沥青混凝土面层，桥头引道配套设置安全设施，设置施工便道全长 125 米，便桥12 米/1座。</w:t>
      </w:r>
    </w:p>
    <w:p w14:paraId="4D37D766">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2.3、建设地点：方正县宝兴乡。</w:t>
      </w:r>
    </w:p>
    <w:p w14:paraId="3B28D7C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2.4</w:t>
      </w:r>
      <w:r>
        <w:rPr>
          <w:rFonts w:hint="eastAsia" w:ascii="宋体" w:hAnsi="宋体" w:eastAsia="宋体" w:cs="宋体"/>
          <w:color w:val="auto"/>
          <w:sz w:val="21"/>
          <w:szCs w:val="21"/>
          <w:highlight w:val="none"/>
        </w:rPr>
        <w:t>、招标范围：</w:t>
      </w:r>
      <w:r>
        <w:rPr>
          <w:rFonts w:hint="eastAsia" w:ascii="宋体" w:hAnsi="宋体" w:eastAsia="宋体" w:cs="宋体"/>
          <w:color w:val="auto"/>
          <w:sz w:val="21"/>
          <w:szCs w:val="21"/>
          <w:highlight w:val="none"/>
          <w:lang w:eastAsia="zh-CN"/>
        </w:rPr>
        <w:t>工程量清单</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图纸内全部内容</w:t>
      </w:r>
      <w:r>
        <w:rPr>
          <w:rFonts w:hint="eastAsia" w:ascii="宋体" w:hAnsi="宋体" w:eastAsia="宋体" w:cs="宋体"/>
          <w:color w:val="auto"/>
          <w:sz w:val="21"/>
          <w:szCs w:val="21"/>
          <w:highlight w:val="none"/>
        </w:rPr>
        <w:t>及缺陷责任修复。</w:t>
      </w:r>
    </w:p>
    <w:p w14:paraId="6E2A900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、计划工期：</w:t>
      </w:r>
      <w:r>
        <w:rPr>
          <w:rFonts w:hint="eastAsia" w:ascii="宋体" w:hAnsi="宋体" w:eastAsia="宋体" w:cs="宋体"/>
          <w:color w:val="auto"/>
          <w:sz w:val="21"/>
          <w:szCs w:val="21"/>
          <w:highlight w:val="none"/>
          <w:lang w:val="en-US"/>
        </w:rPr>
        <w:t>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rPr>
        <w:t>年</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rPr>
        <w:t>月</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rPr>
        <w:t>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rPr>
        <w:t>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en-US"/>
        </w:rPr>
        <w:t>年</w:t>
      </w: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lang w:val="en-US"/>
        </w:rPr>
        <w:t>月</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lang w:val="en-US"/>
        </w:rPr>
        <w:t>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共</w:t>
      </w: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19</w:t>
      </w:r>
      <w:r>
        <w:rPr>
          <w:rFonts w:hint="eastAsia" w:ascii="宋体" w:hAnsi="宋体" w:eastAsia="宋体" w:cs="宋体"/>
          <w:color w:val="auto"/>
          <w:sz w:val="21"/>
          <w:szCs w:val="21"/>
          <w:highlight w:val="none"/>
          <w:lang w:eastAsia="zh-CN"/>
        </w:rPr>
        <w:t>日历天</w:t>
      </w:r>
      <w:r>
        <w:rPr>
          <w:rFonts w:hint="eastAsia" w:ascii="宋体" w:hAnsi="宋体" w:eastAsia="宋体" w:cs="宋体"/>
          <w:color w:val="auto"/>
          <w:sz w:val="21"/>
          <w:szCs w:val="21"/>
          <w:highlight w:val="none"/>
        </w:rPr>
        <w:t>。</w:t>
      </w:r>
    </w:p>
    <w:p w14:paraId="2EA4BDB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上述计划工期仅作为编制投标文件的统一标准，实际开工日期按合同条款规定执行。</w:t>
      </w:r>
    </w:p>
    <w:p w14:paraId="71976E1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2.6</w:t>
      </w:r>
      <w:r>
        <w:rPr>
          <w:rFonts w:hint="eastAsia" w:ascii="宋体" w:hAnsi="宋体" w:eastAsia="宋体" w:cs="宋体"/>
          <w:color w:val="auto"/>
          <w:sz w:val="21"/>
          <w:szCs w:val="21"/>
          <w:highlight w:val="none"/>
        </w:rPr>
        <w:t>、安全目标：在项目建设过程中杜绝重大安全责任事故，避免发生较大安全责任事故，控制一般安全责任事故，各类生产安全责任事故死亡人数为零。</w:t>
      </w:r>
    </w:p>
    <w:p w14:paraId="6A30A50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2.7</w:t>
      </w:r>
      <w:r>
        <w:rPr>
          <w:rFonts w:hint="eastAsia" w:ascii="宋体" w:hAnsi="宋体" w:eastAsia="宋体" w:cs="宋体"/>
          <w:color w:val="auto"/>
          <w:sz w:val="21"/>
          <w:szCs w:val="21"/>
          <w:highlight w:val="none"/>
        </w:rPr>
        <w:t>、质量要求：工程质量应符合《公路工程质量检验评定标准》（JTG F80/1-2017），竣（交）工验收依据《公路工程竣（交）工验收办法实施细则》（交公路发〔2010〕65 号）规定，标段交工验收质量评定为合格；竣工验收质量评定为优良。</w:t>
      </w:r>
    </w:p>
    <w:p w14:paraId="03022E67">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2.8</w:t>
      </w:r>
      <w:r>
        <w:rPr>
          <w:rFonts w:hint="eastAsia" w:ascii="宋体" w:hAnsi="宋体" w:eastAsia="宋体" w:cs="宋体"/>
          <w:color w:val="auto"/>
          <w:sz w:val="21"/>
          <w:szCs w:val="21"/>
          <w:highlight w:val="none"/>
        </w:rPr>
        <w:t>、标段划分：</w:t>
      </w:r>
      <w:r>
        <w:rPr>
          <w:rFonts w:hint="eastAsia" w:ascii="宋体" w:hAnsi="宋体" w:eastAsia="宋体" w:cs="宋体"/>
          <w:color w:val="auto"/>
          <w:sz w:val="21"/>
          <w:szCs w:val="21"/>
          <w:highlight w:val="none"/>
          <w:lang w:eastAsia="zh-CN"/>
        </w:rPr>
        <w:t>本项目划分</w:t>
      </w:r>
      <w:r>
        <w:rPr>
          <w:rFonts w:hint="eastAsia" w:ascii="宋体" w:hAnsi="宋体" w:eastAsia="宋体" w:cs="宋体"/>
          <w:color w:val="auto"/>
          <w:sz w:val="21"/>
          <w:szCs w:val="21"/>
          <w:highlight w:val="none"/>
          <w:lang w:val="en-US" w:eastAsia="zh-CN"/>
        </w:rPr>
        <w:t>1个</w:t>
      </w:r>
      <w:r>
        <w:rPr>
          <w:rFonts w:hint="eastAsia" w:ascii="宋体" w:hAnsi="宋体" w:eastAsia="宋体" w:cs="宋体"/>
          <w:color w:val="auto"/>
          <w:sz w:val="21"/>
          <w:szCs w:val="21"/>
          <w:highlight w:val="none"/>
          <w:lang w:eastAsia="zh-CN"/>
        </w:rPr>
        <w:t>标段</w:t>
      </w:r>
      <w:r>
        <w:rPr>
          <w:rFonts w:hint="eastAsia" w:ascii="宋体" w:hAnsi="宋体" w:eastAsia="宋体" w:cs="宋体"/>
          <w:color w:val="auto"/>
          <w:sz w:val="21"/>
          <w:szCs w:val="21"/>
          <w:highlight w:val="none"/>
          <w:lang w:val="en-US" w:eastAsia="zh-CN"/>
        </w:rPr>
        <w:t>；</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430"/>
        <w:gridCol w:w="1662"/>
        <w:gridCol w:w="3816"/>
        <w:gridCol w:w="1800"/>
      </w:tblGrid>
      <w:tr w14:paraId="69BAE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noWrap w:val="0"/>
            <w:vAlign w:val="top"/>
          </w:tcPr>
          <w:p w14:paraId="0CA9E446">
            <w:pPr>
              <w:pStyle w:val="2"/>
              <w:ind w:left="0" w:leftChars="0" w:firstLine="0" w:firstLineChars="0"/>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标段</w:t>
            </w:r>
          </w:p>
        </w:tc>
        <w:tc>
          <w:tcPr>
            <w:tcW w:w="1430" w:type="dxa"/>
            <w:noWrap w:val="0"/>
            <w:vAlign w:val="top"/>
          </w:tcPr>
          <w:p w14:paraId="2B00A188">
            <w:pPr>
              <w:pStyle w:val="2"/>
              <w:ind w:left="0" w:leftChars="0" w:firstLine="0" w:firstLineChars="0"/>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桩号</w:t>
            </w:r>
          </w:p>
        </w:tc>
        <w:tc>
          <w:tcPr>
            <w:tcW w:w="1662" w:type="dxa"/>
            <w:noWrap w:val="0"/>
            <w:vAlign w:val="top"/>
          </w:tcPr>
          <w:p w14:paraId="5C75B613">
            <w:pPr>
              <w:pStyle w:val="2"/>
              <w:ind w:left="0" w:leftChars="0" w:firstLine="0" w:firstLineChars="0"/>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里程</w:t>
            </w:r>
          </w:p>
        </w:tc>
        <w:tc>
          <w:tcPr>
            <w:tcW w:w="3816" w:type="dxa"/>
            <w:noWrap w:val="0"/>
            <w:vAlign w:val="top"/>
          </w:tcPr>
          <w:p w14:paraId="54A3A6C5">
            <w:pPr>
              <w:pStyle w:val="2"/>
              <w:ind w:left="0" w:leftChars="0" w:firstLine="0" w:firstLineChars="0"/>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主要工作内容</w:t>
            </w:r>
          </w:p>
        </w:tc>
        <w:tc>
          <w:tcPr>
            <w:tcW w:w="1800" w:type="dxa"/>
            <w:noWrap w:val="0"/>
            <w:vAlign w:val="top"/>
          </w:tcPr>
          <w:p w14:paraId="5AE99A83">
            <w:pPr>
              <w:pStyle w:val="2"/>
              <w:ind w:left="0" w:leftChars="0" w:firstLine="0" w:firstLineChars="0"/>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控制价（元）</w:t>
            </w:r>
          </w:p>
        </w:tc>
      </w:tr>
      <w:tr w14:paraId="5E56B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noWrap w:val="0"/>
            <w:vAlign w:val="center"/>
          </w:tcPr>
          <w:p w14:paraId="616B05F5">
            <w:pPr>
              <w:pStyle w:val="2"/>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WQ1</w:t>
            </w:r>
          </w:p>
        </w:tc>
        <w:tc>
          <w:tcPr>
            <w:tcW w:w="1430" w:type="dxa"/>
            <w:noWrap w:val="0"/>
            <w:vAlign w:val="center"/>
          </w:tcPr>
          <w:p w14:paraId="1D8176E8">
            <w:pPr>
              <w:pStyle w:val="2"/>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K293+832</w:t>
            </w:r>
          </w:p>
        </w:tc>
        <w:tc>
          <w:tcPr>
            <w:tcW w:w="1662" w:type="dxa"/>
            <w:noWrap w:val="0"/>
            <w:vAlign w:val="center"/>
          </w:tcPr>
          <w:p w14:paraId="24291BAC">
            <w:pPr>
              <w:pStyle w:val="2"/>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64.908米</w:t>
            </w:r>
          </w:p>
        </w:tc>
        <w:tc>
          <w:tcPr>
            <w:tcW w:w="3816" w:type="dxa"/>
            <w:noWrap w:val="0"/>
            <w:vAlign w:val="center"/>
          </w:tcPr>
          <w:p w14:paraId="02C9BDB8">
            <w:pPr>
              <w:pStyle w:val="2"/>
              <w:ind w:left="0" w:leftChars="0" w:firstLine="0" w:firstLineChars="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lang w:eastAsia="zh-CN"/>
              </w:rPr>
              <w:t>工程量清单</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图纸内全部内容</w:t>
            </w:r>
            <w:r>
              <w:rPr>
                <w:rFonts w:hint="eastAsia" w:ascii="宋体" w:hAnsi="宋体" w:eastAsia="宋体" w:cs="宋体"/>
                <w:color w:val="auto"/>
                <w:sz w:val="21"/>
                <w:szCs w:val="21"/>
                <w:highlight w:val="none"/>
              </w:rPr>
              <w:t>及缺陷责任修复。</w:t>
            </w:r>
          </w:p>
        </w:tc>
        <w:tc>
          <w:tcPr>
            <w:tcW w:w="1800" w:type="dxa"/>
            <w:noWrap w:val="0"/>
            <w:vAlign w:val="center"/>
          </w:tcPr>
          <w:p w14:paraId="741ABFEF">
            <w:pPr>
              <w:pStyle w:val="2"/>
              <w:ind w:left="0" w:leftChars="0" w:firstLine="0" w:firstLineChars="0"/>
              <w:jc w:val="center"/>
              <w:rPr>
                <w:rFonts w:hint="default" w:ascii="宋体" w:hAnsi="宋体" w:eastAsia="宋体" w:cs="宋体"/>
                <w:color w:val="auto"/>
                <w:sz w:val="21"/>
                <w:szCs w:val="21"/>
                <w:highlight w:val="none"/>
                <w:vertAlign w:val="baseline"/>
                <w:lang w:val="en-US"/>
              </w:rPr>
            </w:pPr>
            <w:r>
              <w:rPr>
                <w:rFonts w:hint="eastAsia" w:ascii="宋体" w:hAnsi="宋体" w:eastAsia="宋体" w:cs="宋体"/>
                <w:color w:val="auto"/>
                <w:sz w:val="21"/>
                <w:szCs w:val="21"/>
                <w:highlight w:val="none"/>
                <w:vertAlign w:val="baseline"/>
                <w:lang w:val="en-US" w:eastAsia="zh-CN"/>
              </w:rPr>
              <w:t>4,989,044.76</w:t>
            </w:r>
          </w:p>
        </w:tc>
      </w:tr>
    </w:tbl>
    <w:p w14:paraId="2CFD82D7">
      <w:pPr>
        <w:adjustRightInd w:val="0"/>
        <w:snapToGrid w:val="0"/>
        <w:spacing w:line="360" w:lineRule="auto"/>
        <w:jc w:val="left"/>
        <w:rPr>
          <w:rFonts w:ascii="Times New Roman" w:hAnsi="Times New Roman" w:eastAsia="楷体"/>
          <w:color w:val="auto"/>
          <w:szCs w:val="21"/>
          <w:highlight w:val="none"/>
        </w:rPr>
      </w:pPr>
      <w:r>
        <w:rPr>
          <w:rFonts w:hint="eastAsia" w:ascii="宋体" w:hAnsi="宋体" w:eastAsia="宋体" w:cs="宋体"/>
          <w:color w:val="auto"/>
          <w:sz w:val="21"/>
          <w:szCs w:val="21"/>
          <w:highlight w:val="none"/>
          <w:lang w:val="en-US" w:eastAsia="zh-CN"/>
        </w:rPr>
        <w:t> </w:t>
      </w:r>
      <w:r>
        <w:rPr>
          <w:rFonts w:hint="eastAsia" w:ascii="Times New Roman" w:hAnsi="Times New Roman" w:eastAsia="楷体"/>
          <w:color w:val="auto"/>
          <w:szCs w:val="21"/>
          <w:highlight w:val="none"/>
        </w:rPr>
        <w:t>注：具体工程量以招标工程量清单为准。</w:t>
      </w:r>
    </w:p>
    <w:p w14:paraId="5DEB8816">
      <w:p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三、投标人资格要求</w:t>
      </w:r>
    </w:p>
    <w:p w14:paraId="61EA843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1、本次招标要求投标人须具备国内独立法人资格，持有工商行政管理部门核发的企业法人营业执照，具有有效的安全生产许可证，并在人员、设备、资金等方面具有相应的施工能力，且同时满足下列要求：</w:t>
      </w:r>
    </w:p>
    <w:p w14:paraId="1DFA7C9C">
      <w:pPr>
        <w:pStyle w:val="2"/>
        <w:ind w:left="0" w:leftChars="0"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3.1.1资质最低要求：</w:t>
      </w:r>
    </w:p>
    <w:p w14:paraId="4DDCA9B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投标人须具备建设行政主管部门颁发的公路工程施工总承包</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级以上（含</w:t>
      </w:r>
      <w:r>
        <w:rPr>
          <w:rFonts w:hint="eastAsia" w:ascii="宋体" w:hAnsi="宋体" w:eastAsia="宋体" w:cs="宋体"/>
          <w:color w:val="auto"/>
          <w:sz w:val="21"/>
          <w:szCs w:val="21"/>
          <w:highlight w:val="none"/>
          <w:lang w:eastAsia="zh-CN"/>
        </w:rPr>
        <w:t>三</w:t>
      </w:r>
      <w:r>
        <w:rPr>
          <w:rFonts w:hint="eastAsia" w:ascii="宋体" w:hAnsi="宋体" w:eastAsia="宋体" w:cs="宋体"/>
          <w:color w:val="auto"/>
          <w:sz w:val="21"/>
          <w:szCs w:val="21"/>
          <w:highlight w:val="none"/>
        </w:rPr>
        <w:t>级）资质</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lang w:eastAsia="zh-CN"/>
        </w:rPr>
        <w:t>具备</w:t>
      </w:r>
      <w:r>
        <w:rPr>
          <w:rFonts w:hint="eastAsia" w:ascii="宋体" w:hAnsi="宋体" w:eastAsia="宋体" w:cs="宋体"/>
          <w:color w:val="auto"/>
          <w:kern w:val="2"/>
          <w:sz w:val="21"/>
          <w:szCs w:val="21"/>
          <w:highlight w:val="none"/>
          <w:lang w:val="en-US" w:eastAsia="zh-CN" w:bidi="ar-SA"/>
        </w:rPr>
        <w:t>行政主管部门颁发的桥梁工程专业承包三级以上（含三级）资质，</w:t>
      </w:r>
      <w:r>
        <w:rPr>
          <w:rFonts w:hint="eastAsia" w:ascii="宋体" w:hAnsi="宋体" w:eastAsia="宋体" w:cs="宋体"/>
          <w:color w:val="auto"/>
          <w:sz w:val="21"/>
          <w:szCs w:val="21"/>
          <w:highlight w:val="none"/>
        </w:rPr>
        <w:t>并无不良业绩。如根据《住房和城乡建设部关于印发建设工程企业资质管理制度改革方案的通知》（建市〔2020〕94号）文件内容，更换了相关资质，则需具备</w:t>
      </w:r>
      <w:r>
        <w:rPr>
          <w:rFonts w:hint="eastAsia" w:ascii="宋体" w:hAnsi="宋体" w:eastAsia="宋体" w:cs="宋体"/>
          <w:color w:val="auto"/>
          <w:sz w:val="21"/>
          <w:szCs w:val="21"/>
          <w:highlight w:val="none"/>
          <w:lang w:val="en-US" w:eastAsia="zh-CN"/>
        </w:rPr>
        <w:t>公路</w:t>
      </w:r>
      <w:r>
        <w:rPr>
          <w:rFonts w:hint="eastAsia" w:ascii="宋体" w:hAnsi="宋体" w:eastAsia="宋体" w:cs="宋体"/>
          <w:color w:val="auto"/>
          <w:sz w:val="21"/>
          <w:szCs w:val="21"/>
          <w:highlight w:val="none"/>
        </w:rPr>
        <w:t>工程施工总承包乙级以上（含乙级）资质</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kern w:val="2"/>
          <w:sz w:val="21"/>
          <w:szCs w:val="21"/>
          <w:highlight w:val="none"/>
          <w:lang w:val="en-US" w:eastAsia="zh-CN" w:bidi="ar-SA"/>
        </w:rPr>
        <w:t>桥梁工程专业承包</w:t>
      </w:r>
      <w:r>
        <w:rPr>
          <w:rFonts w:hint="eastAsia" w:ascii="宋体" w:hAnsi="宋体" w:eastAsia="宋体" w:cs="宋体"/>
          <w:color w:val="auto"/>
          <w:sz w:val="21"/>
          <w:szCs w:val="21"/>
          <w:highlight w:val="none"/>
        </w:rPr>
        <w:t>乙级以上（含乙级）资质。</w:t>
      </w:r>
    </w:p>
    <w:p w14:paraId="4565B7CF">
      <w:pPr>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属于《关于发布公路工程从业企业资质名录的通知》（厅公路字[2011]114 号）中名录范围内的投标人，应进入交通运输部“全国公路建设市场信用信息管理系统（http://glxy.mot.gov.cn）”中的公路工程施工资质企业名录，且投标人名称和资质与该名录中的相应企业名称和资质完全一致。</w:t>
      </w:r>
    </w:p>
    <w:p w14:paraId="453702FA">
      <w:pPr>
        <w:pStyle w:val="2"/>
        <w:ind w:left="0" w:leftChars="0"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3.1.2人员最低要求：</w:t>
      </w:r>
    </w:p>
    <w:p w14:paraId="005A38C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、项目经理最低要求：投标人拟派项目经理必须具有公路工程专业</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级注册建造师执业资格证书（注册单位名称必须与投标人名称一致），具备有效的</w:t>
      </w:r>
      <w:r>
        <w:rPr>
          <w:rFonts w:hint="eastAsia" w:ascii="宋体" w:hAnsi="宋体" w:eastAsia="宋体" w:cs="宋体"/>
          <w:color w:val="auto"/>
          <w:sz w:val="21"/>
          <w:szCs w:val="21"/>
          <w:highlight w:val="none"/>
          <w:lang w:val="en-US" w:eastAsia="zh-CN"/>
        </w:rPr>
        <w:t>B类</w:t>
      </w:r>
      <w:r>
        <w:rPr>
          <w:rFonts w:hint="eastAsia" w:ascii="宋体" w:hAnsi="宋体" w:eastAsia="宋体" w:cs="宋体"/>
          <w:color w:val="auto"/>
          <w:sz w:val="21"/>
          <w:szCs w:val="21"/>
          <w:highlight w:val="none"/>
        </w:rPr>
        <w:t>安全生产考核合格证书，</w:t>
      </w:r>
      <w:r>
        <w:rPr>
          <w:rFonts w:hint="eastAsia" w:ascii="宋体" w:hAnsi="宋体" w:eastAsia="宋体" w:cs="宋体"/>
          <w:color w:val="auto"/>
          <w:sz w:val="21"/>
          <w:szCs w:val="21"/>
          <w:highlight w:val="none"/>
          <w:lang w:val="en-US" w:eastAsia="zh-CN"/>
        </w:rPr>
        <w:t>2024年5月至2024年10月其中任意连续三个月企业为其缴纳基本养老保险的有效证明（投标企业必须提供投标人所属社保机构出具的拟委任的项目经理的基本养老保险缴费证明或其他能够证明拟委任的项目经理参加基本养老保险的有效证明材料复印件），</w:t>
      </w:r>
      <w:r>
        <w:rPr>
          <w:rFonts w:hint="eastAsia" w:ascii="宋体" w:hAnsi="宋体" w:eastAsia="宋体" w:cs="宋体"/>
          <w:color w:val="auto"/>
          <w:sz w:val="21"/>
          <w:szCs w:val="21"/>
          <w:highlight w:val="none"/>
        </w:rPr>
        <w:t>且未担任其他在施建设工程项目的项目经理。</w:t>
      </w:r>
    </w:p>
    <w:p w14:paraId="00EB5621">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2、项目总工：投标人拟派项目总工必须具有公路工程相关专业高级以上（含高级）职称，</w:t>
      </w:r>
      <w:r>
        <w:rPr>
          <w:rFonts w:hint="eastAsia" w:ascii="宋体" w:hAnsi="宋体" w:eastAsia="宋体" w:cs="宋体"/>
          <w:color w:val="auto"/>
          <w:sz w:val="21"/>
          <w:szCs w:val="21"/>
          <w:highlight w:val="none"/>
        </w:rPr>
        <w:t>具备有效的</w:t>
      </w:r>
      <w:r>
        <w:rPr>
          <w:rFonts w:hint="eastAsia" w:ascii="宋体" w:hAnsi="宋体" w:eastAsia="宋体" w:cs="宋体"/>
          <w:color w:val="auto"/>
          <w:sz w:val="21"/>
          <w:szCs w:val="21"/>
          <w:highlight w:val="none"/>
          <w:lang w:val="en-US" w:eastAsia="zh-CN"/>
        </w:rPr>
        <w:t>B类</w:t>
      </w:r>
      <w:r>
        <w:rPr>
          <w:rFonts w:hint="eastAsia" w:ascii="宋体" w:hAnsi="宋体" w:eastAsia="宋体" w:cs="宋体"/>
          <w:color w:val="auto"/>
          <w:sz w:val="21"/>
          <w:szCs w:val="21"/>
          <w:highlight w:val="none"/>
        </w:rPr>
        <w:t>安全生产考核合格证书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2024年5月至2024年10月其中任意连续三个月企业为其缴纳基本养老保险的有效证明（投标企业必须提供投标人所属社保机构出具的拟委任的项目总工的基本养老保险缴费证明或其他能够证明拟委任的项目总工参加基本养老保险的有效证明材料复印件）。</w:t>
      </w:r>
    </w:p>
    <w:p w14:paraId="7E77F39F">
      <w:pPr>
        <w:pStyle w:val="2"/>
        <w:ind w:left="0" w:leftChars="0"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3.1.3业绩最低要求：</w:t>
      </w:r>
    </w:p>
    <w:p w14:paraId="71062352">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近五年（2019年11 月 1 日～投标文件递交截止时间止，以实际交工日期为准）：</w:t>
      </w:r>
    </w:p>
    <w:p w14:paraId="7D3293AD">
      <w:pPr>
        <w:keepNext w:val="0"/>
        <w:keepLines w:val="0"/>
        <w:pageBreakBefore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（1）累计独立完成的二级及以上公路桥梁总长度不少于60米；</w:t>
      </w:r>
    </w:p>
    <w:p w14:paraId="1F8EA699">
      <w:pPr>
        <w:keepNext w:val="0"/>
        <w:keepLines w:val="0"/>
        <w:pageBreakBefore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（2）至少独立完成过1座二级以上公路的中桥工程。</w:t>
      </w:r>
    </w:p>
    <w:p w14:paraId="12E993BA">
      <w:pPr>
        <w:keepNext w:val="0"/>
        <w:keepLines w:val="0"/>
        <w:pageBreakBefore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注：1.如单个业绩能同时满足(1)(2)条件要求的，则该业绩可分别予以认定；</w:t>
      </w:r>
    </w:p>
    <w:p w14:paraId="4E41962F">
      <w:pPr>
        <w:keepNext w:val="0"/>
        <w:keepLines w:val="0"/>
        <w:pageBreakBefore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业绩应在交通运输部“全国公路建设市场信用信息管理系统”或省级交通运输主管部门“公路建设市场信用信息管理系统”中能够查询，如果查询不到该业绩的信息或查询的信息与投标人提供的信息不一致，业绩审查时将不予认定。</w:t>
      </w:r>
    </w:p>
    <w:p w14:paraId="6A75108D">
      <w:pPr>
        <w:pStyle w:val="2"/>
        <w:ind w:left="0" w:leftChars="0"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3.1.4信誉最低要求：</w:t>
      </w:r>
    </w:p>
    <w:p w14:paraId="71D9EB9F">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1、投标人在近三年中不得在合同中违约、被驱逐出现场；不得有重大质量、安全事故被有关部门处罚；不得拖欠农民工工资情况。</w:t>
      </w:r>
    </w:p>
    <w:p w14:paraId="28C8FA54">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2、投标人未被省级及以上交通运输主管部门取消招标项目所在地的投标资格且处于有效期内；未被责令停业，暂扣或吊销执照，或吊销资质证书；未进入清算程序，或被宣告破产，或其他丧失履约能力的情形；</w:t>
      </w:r>
    </w:p>
    <w:p w14:paraId="2741167B">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本次招标不接受黑龙江省交通运输厅2023年度或交通运输部2023年度公路施工企业信用评价中认定为D级信用评价等级的投标人提出投标申请；无2023年度交通运输部或2023年度省级设计企业全国综合信用评价的企业，以上一年度信用评价等级为准；尚无交通运输部或省级施工企业全国综合信用评价的企业，若无不良信用记录，按A级对待。</w:t>
      </w:r>
    </w:p>
    <w:p w14:paraId="772CCF73">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4、在“信用中国”网站（www.creditchina.gov.cn）中列入失信被执行人名单的投标人不得参加本项目投标。</w:t>
      </w:r>
    </w:p>
    <w:p w14:paraId="2EE264BA">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5、投标人及其法定代表人、拟委任的项目经理在近三年内有行贿犯罪行为，不得参加本项目投标。</w:t>
      </w:r>
    </w:p>
    <w:p w14:paraId="5A78CC1C">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6、在国家企业信用信息公示系统（http://www.gsxt.gov.cn/）中被列入严重违法失信企业名单的投标人，不得参加本项目投标。</w:t>
      </w:r>
    </w:p>
    <w:p w14:paraId="5C3E6E9D">
      <w:pPr>
        <w:pStyle w:val="2"/>
        <w:ind w:left="0" w:leftChars="0"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3.1.5财务最低要求：</w:t>
      </w:r>
    </w:p>
    <w:p w14:paraId="5141D6C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480"/>
        <w:jc w:val="left"/>
        <w:textAlignment w:val="baseline"/>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（1）2023年度的流动比率（流动资产与流动负债比）大于1；</w:t>
      </w:r>
    </w:p>
    <w:p w14:paraId="2C69869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480"/>
        <w:jc w:val="left"/>
        <w:textAlignment w:val="baseline"/>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（2）营运资金（2023年度流动资产-2023年度流动负债+银行专为本工程出具的资金证明\银行信贷\银行保函等）不得少于投标人所申请标段最高投标限价的15%。</w:t>
      </w:r>
    </w:p>
    <w:p w14:paraId="3C68263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本项目施工不接受联合体投标，不允许转包和分包。</w:t>
      </w:r>
    </w:p>
    <w:p w14:paraId="7FA276F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与招标人存在利害关系可能影响招标公正性的单位，不得参加投标。单位负责人为同一人或存在控股、管理关系的不同单位，不得参加同一标段投标，否则，相关投标均无效。</w:t>
      </w:r>
    </w:p>
    <w:p w14:paraId="6AA8745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kern w:val="0"/>
          <w:sz w:val="21"/>
          <w:szCs w:val="21"/>
          <w:highlight w:val="none"/>
        </w:rPr>
        <w:t>本次招标评标采用双信封形式的</w:t>
      </w:r>
      <w:r>
        <w:rPr>
          <w:rFonts w:hint="eastAsia" w:ascii="宋体" w:hAnsi="宋体" w:eastAsia="宋体" w:cs="宋体"/>
          <w:b/>
          <w:color w:val="auto"/>
          <w:kern w:val="0"/>
          <w:sz w:val="21"/>
          <w:szCs w:val="21"/>
          <w:highlight w:val="none"/>
        </w:rPr>
        <w:t>技术评分最低标价法</w:t>
      </w:r>
      <w:r>
        <w:rPr>
          <w:rFonts w:hint="eastAsia" w:ascii="宋体" w:hAnsi="宋体" w:eastAsia="宋体" w:cs="宋体"/>
          <w:color w:val="auto"/>
          <w:kern w:val="0"/>
          <w:sz w:val="21"/>
          <w:szCs w:val="21"/>
          <w:highlight w:val="none"/>
        </w:rPr>
        <w:t>，对投标人的资格审查采用资格后审方式。</w:t>
      </w:r>
    </w:p>
    <w:p w14:paraId="51CD41EE">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四、招标文件的获取</w:t>
      </w:r>
    </w:p>
    <w:p w14:paraId="71DF277A">
      <w:pPr>
        <w:tabs>
          <w:tab w:val="left" w:pos="360"/>
        </w:tabs>
        <w:spacing w:line="360" w:lineRule="auto"/>
        <w:ind w:firstLine="420" w:firstLineChars="200"/>
        <w:rPr>
          <w:rFonts w:ascii="Times New Roman" w:hAnsi="Times New Roman" w:eastAsia="宋体"/>
          <w:color w:val="auto"/>
          <w:szCs w:val="21"/>
          <w:highlight w:val="none"/>
          <w:lang w:val="zh-CN"/>
        </w:rPr>
      </w:pPr>
      <w:bookmarkStart w:id="3" w:name="_Hlk527016551"/>
      <w:r>
        <w:rPr>
          <w:rFonts w:ascii="Times New Roman" w:hAnsi="Times New Roman" w:eastAsia="宋体"/>
          <w:color w:val="auto"/>
          <w:szCs w:val="21"/>
          <w:highlight w:val="none"/>
        </w:rPr>
        <w:t>4.1</w:t>
      </w:r>
      <w:r>
        <w:rPr>
          <w:rFonts w:ascii="Times New Roman" w:hAnsi="Times New Roman" w:eastAsia="宋体"/>
          <w:color w:val="auto"/>
          <w:szCs w:val="21"/>
          <w:highlight w:val="none"/>
          <w:lang w:val="zh-CN"/>
        </w:rPr>
        <w:t>凡有意参加投标者</w:t>
      </w:r>
      <w:r>
        <w:rPr>
          <w:rFonts w:ascii="Times New Roman" w:hAnsi="Times New Roman" w:eastAsia="宋体"/>
          <w:color w:val="auto"/>
          <w:szCs w:val="21"/>
          <w:highlight w:val="none"/>
        </w:rPr>
        <w:t>，</w:t>
      </w:r>
      <w:r>
        <w:rPr>
          <w:rFonts w:ascii="Times New Roman" w:hAnsi="Times New Roman" w:eastAsia="宋体"/>
          <w:color w:val="auto"/>
          <w:szCs w:val="21"/>
          <w:highlight w:val="none"/>
          <w:lang w:val="zh-CN"/>
        </w:rPr>
        <w:t>请在</w:t>
      </w:r>
      <w:r>
        <w:rPr>
          <w:rFonts w:hint="eastAsia" w:ascii="Times New Roman" w:hAnsi="Times New Roman" w:eastAsia="宋体"/>
          <w:color w:val="auto"/>
          <w:szCs w:val="21"/>
          <w:highlight w:val="none"/>
        </w:rPr>
        <w:t>“</w:t>
      </w:r>
      <w:r>
        <w:rPr>
          <w:rFonts w:hint="eastAsia" w:ascii="Times New Roman" w:hAnsi="Times New Roman" w:eastAsia="宋体"/>
          <w:color w:val="auto"/>
          <w:szCs w:val="21"/>
          <w:highlight w:val="none"/>
          <w:lang w:val="zh-CN"/>
        </w:rPr>
        <w:t>黑龙江公共资源交易网</w:t>
      </w:r>
      <w:r>
        <w:rPr>
          <w:rFonts w:ascii="Times New Roman" w:hAnsi="Times New Roman" w:eastAsia="宋体"/>
          <w:color w:val="auto"/>
          <w:szCs w:val="21"/>
          <w:highlight w:val="none"/>
        </w:rPr>
        <w:t>(http://www.hljggzyjyw.org.cn/)</w:t>
      </w:r>
      <w:r>
        <w:rPr>
          <w:rFonts w:hint="eastAsia" w:ascii="Times New Roman" w:hAnsi="Times New Roman" w:eastAsia="宋体"/>
          <w:color w:val="auto"/>
          <w:szCs w:val="21"/>
          <w:highlight w:val="none"/>
        </w:rPr>
        <w:t>”</w:t>
      </w:r>
      <w:r>
        <w:rPr>
          <w:rFonts w:ascii="Times New Roman" w:hAnsi="Times New Roman" w:eastAsia="宋体"/>
          <w:color w:val="auto"/>
          <w:szCs w:val="21"/>
          <w:highlight w:val="none"/>
          <w:lang w:val="zh-CN"/>
        </w:rPr>
        <w:t>进行用户注册、办理数字证书</w:t>
      </w:r>
      <w:r>
        <w:rPr>
          <w:rFonts w:ascii="Times New Roman" w:hAnsi="Times New Roman" w:eastAsia="宋体"/>
          <w:color w:val="auto"/>
          <w:szCs w:val="21"/>
          <w:highlight w:val="none"/>
        </w:rPr>
        <w:t>，</w:t>
      </w:r>
      <w:r>
        <w:rPr>
          <w:rFonts w:ascii="Times New Roman" w:hAnsi="Times New Roman" w:eastAsia="宋体"/>
          <w:color w:val="auto"/>
          <w:szCs w:val="21"/>
          <w:highlight w:val="none"/>
          <w:lang w:val="zh-CN"/>
        </w:rPr>
        <w:t>使用数字证书登录</w:t>
      </w:r>
      <w:r>
        <w:rPr>
          <w:rFonts w:ascii="Times New Roman" w:hAnsi="Times New Roman" w:eastAsia="宋体"/>
          <w:color w:val="auto"/>
          <w:szCs w:val="21"/>
          <w:highlight w:val="none"/>
        </w:rPr>
        <w:t>“</w:t>
      </w:r>
      <w:r>
        <w:rPr>
          <w:rFonts w:ascii="Times New Roman" w:hAnsi="Times New Roman" w:eastAsia="宋体"/>
          <w:color w:val="auto"/>
          <w:szCs w:val="21"/>
          <w:highlight w:val="none"/>
          <w:lang w:val="zh-CN"/>
        </w:rPr>
        <w:t>黑龙江公共资源交易网</w:t>
      </w:r>
      <w:r>
        <w:rPr>
          <w:rFonts w:ascii="Times New Roman" w:hAnsi="Times New Roman" w:eastAsia="宋体"/>
          <w:color w:val="auto"/>
          <w:szCs w:val="21"/>
          <w:highlight w:val="none"/>
        </w:rPr>
        <w:t>”</w:t>
      </w:r>
      <w:r>
        <w:rPr>
          <w:rFonts w:ascii="Times New Roman" w:hAnsi="Times New Roman" w:eastAsia="宋体"/>
          <w:color w:val="auto"/>
          <w:szCs w:val="21"/>
          <w:highlight w:val="none"/>
          <w:lang w:val="zh-CN"/>
        </w:rPr>
        <w:t>上的</w:t>
      </w:r>
      <w:r>
        <w:rPr>
          <w:rFonts w:ascii="Times New Roman" w:hAnsi="Times New Roman" w:eastAsia="宋体"/>
          <w:color w:val="auto"/>
          <w:szCs w:val="21"/>
          <w:highlight w:val="none"/>
        </w:rPr>
        <w:t>“</w:t>
      </w:r>
      <w:r>
        <w:rPr>
          <w:rFonts w:ascii="Times New Roman" w:hAnsi="Times New Roman" w:eastAsia="宋体"/>
          <w:color w:val="auto"/>
          <w:szCs w:val="21"/>
          <w:highlight w:val="none"/>
          <w:lang w:val="zh-CN"/>
        </w:rPr>
        <w:t>交易平台</w:t>
      </w:r>
      <w:r>
        <w:rPr>
          <w:rFonts w:ascii="Times New Roman" w:hAnsi="Times New Roman" w:eastAsia="宋体"/>
          <w:color w:val="auto"/>
          <w:szCs w:val="21"/>
          <w:highlight w:val="none"/>
        </w:rPr>
        <w:t>”，</w:t>
      </w:r>
      <w:r>
        <w:rPr>
          <w:rFonts w:ascii="Times New Roman" w:hAnsi="Times New Roman" w:eastAsia="宋体"/>
          <w:color w:val="auto"/>
          <w:szCs w:val="21"/>
          <w:highlight w:val="none"/>
          <w:lang w:val="zh-CN"/>
        </w:rPr>
        <w:t>明确所投标段</w:t>
      </w:r>
      <w:r>
        <w:rPr>
          <w:rFonts w:ascii="Times New Roman" w:hAnsi="Times New Roman" w:eastAsia="宋体"/>
          <w:color w:val="auto"/>
          <w:szCs w:val="21"/>
          <w:highlight w:val="none"/>
        </w:rPr>
        <w:t>，</w:t>
      </w:r>
      <w:r>
        <w:rPr>
          <w:rFonts w:ascii="Times New Roman" w:hAnsi="Times New Roman" w:eastAsia="宋体"/>
          <w:color w:val="auto"/>
          <w:szCs w:val="21"/>
          <w:highlight w:val="none"/>
          <w:lang w:val="zh-CN"/>
        </w:rPr>
        <w:t>下载招标文件、</w:t>
      </w:r>
      <w:r>
        <w:rPr>
          <w:rFonts w:hint="eastAsia" w:ascii="Times New Roman" w:hAnsi="Times New Roman" w:eastAsia="宋体"/>
          <w:color w:val="auto"/>
          <w:szCs w:val="21"/>
          <w:highlight w:val="none"/>
          <w:lang w:val="zh-CN"/>
        </w:rPr>
        <w:t>工程量清单及</w:t>
      </w:r>
      <w:r>
        <w:rPr>
          <w:rFonts w:ascii="Times New Roman" w:hAnsi="Times New Roman" w:eastAsia="宋体"/>
          <w:color w:val="auto"/>
          <w:szCs w:val="21"/>
          <w:highlight w:val="none"/>
          <w:lang w:val="zh-CN"/>
        </w:rPr>
        <w:t>图纸。下载时间为</w:t>
      </w:r>
      <w:r>
        <w:rPr>
          <w:rFonts w:hint="eastAsia" w:ascii="Times New Roman" w:hAnsi="Times New Roman" w:eastAsia="宋体"/>
          <w:color w:val="auto"/>
          <w:szCs w:val="21"/>
          <w:highlight w:val="none"/>
          <w:lang w:val="zh-CN"/>
        </w:rPr>
        <w:t>202</w:t>
      </w:r>
      <w:r>
        <w:rPr>
          <w:rFonts w:hint="eastAsia" w:ascii="Times New Roman" w:hAnsi="Times New Roman" w:eastAsia="宋体"/>
          <w:color w:val="auto"/>
          <w:szCs w:val="21"/>
          <w:highlight w:val="none"/>
          <w:lang w:val="en-US" w:eastAsia="zh-CN"/>
        </w:rPr>
        <w:t>4</w:t>
      </w:r>
      <w:r>
        <w:rPr>
          <w:rFonts w:hint="eastAsia" w:ascii="Times New Roman" w:hAnsi="Times New Roman" w:eastAsia="宋体"/>
          <w:color w:val="auto"/>
          <w:szCs w:val="21"/>
          <w:highlight w:val="none"/>
          <w:lang w:val="zh-CN"/>
        </w:rPr>
        <w:t>年</w:t>
      </w:r>
      <w:r>
        <w:rPr>
          <w:rFonts w:hint="eastAsia" w:ascii="Times New Roman" w:hAnsi="Times New Roman" w:eastAsia="宋体"/>
          <w:color w:val="auto"/>
          <w:szCs w:val="21"/>
          <w:highlight w:val="none"/>
          <w:lang w:val="en-US" w:eastAsia="zh-CN"/>
        </w:rPr>
        <w:t>11</w:t>
      </w:r>
      <w:r>
        <w:rPr>
          <w:rFonts w:hint="eastAsia" w:ascii="Times New Roman" w:hAnsi="Times New Roman" w:eastAsia="宋体"/>
          <w:color w:val="auto"/>
          <w:szCs w:val="21"/>
          <w:highlight w:val="none"/>
          <w:lang w:val="zh-CN"/>
        </w:rPr>
        <w:t>月</w:t>
      </w:r>
      <w:r>
        <w:rPr>
          <w:rFonts w:hint="eastAsia"/>
          <w:color w:val="auto"/>
          <w:szCs w:val="21"/>
          <w:highlight w:val="none"/>
          <w:lang w:val="en-US" w:eastAsia="zh-CN"/>
        </w:rPr>
        <w:t>29</w:t>
      </w:r>
      <w:r>
        <w:rPr>
          <w:rFonts w:hint="eastAsia" w:ascii="Times New Roman" w:hAnsi="Times New Roman" w:eastAsia="宋体"/>
          <w:color w:val="auto"/>
          <w:szCs w:val="21"/>
          <w:highlight w:val="none"/>
          <w:lang w:val="zh-CN"/>
        </w:rPr>
        <w:t>日</w:t>
      </w:r>
      <w:r>
        <w:rPr>
          <w:rFonts w:hint="eastAsia" w:ascii="Times New Roman" w:hAnsi="Times New Roman" w:eastAsia="宋体"/>
          <w:color w:val="auto"/>
          <w:szCs w:val="21"/>
          <w:highlight w:val="none"/>
          <w:lang w:val="en-US" w:eastAsia="zh-CN"/>
        </w:rPr>
        <w:t>00</w:t>
      </w:r>
      <w:r>
        <w:rPr>
          <w:rFonts w:hint="eastAsia" w:ascii="Times New Roman" w:hAnsi="Times New Roman" w:eastAsia="宋体"/>
          <w:color w:val="auto"/>
          <w:szCs w:val="21"/>
          <w:highlight w:val="none"/>
          <w:lang w:val="zh-CN"/>
        </w:rPr>
        <w:t>时00分至202</w:t>
      </w:r>
      <w:r>
        <w:rPr>
          <w:rFonts w:hint="eastAsia" w:ascii="Times New Roman" w:hAnsi="Times New Roman" w:eastAsia="宋体"/>
          <w:color w:val="auto"/>
          <w:szCs w:val="21"/>
          <w:highlight w:val="none"/>
          <w:lang w:val="en-US" w:eastAsia="zh-CN"/>
        </w:rPr>
        <w:t>4</w:t>
      </w:r>
      <w:r>
        <w:rPr>
          <w:rFonts w:hint="eastAsia" w:ascii="Times New Roman" w:hAnsi="Times New Roman" w:eastAsia="宋体"/>
          <w:color w:val="auto"/>
          <w:szCs w:val="21"/>
          <w:highlight w:val="none"/>
          <w:lang w:val="zh-CN"/>
        </w:rPr>
        <w:t>年</w:t>
      </w:r>
      <w:r>
        <w:rPr>
          <w:rFonts w:hint="eastAsia"/>
          <w:color w:val="auto"/>
          <w:szCs w:val="21"/>
          <w:highlight w:val="none"/>
          <w:lang w:val="en-US" w:eastAsia="zh-CN"/>
        </w:rPr>
        <w:t>12</w:t>
      </w:r>
      <w:r>
        <w:rPr>
          <w:rFonts w:hint="eastAsia" w:ascii="Times New Roman" w:hAnsi="Times New Roman" w:eastAsia="宋体"/>
          <w:color w:val="auto"/>
          <w:szCs w:val="21"/>
          <w:highlight w:val="none"/>
          <w:lang w:val="zh-CN"/>
        </w:rPr>
        <w:t>月</w:t>
      </w:r>
      <w:r>
        <w:rPr>
          <w:rFonts w:hint="eastAsia"/>
          <w:color w:val="auto"/>
          <w:szCs w:val="21"/>
          <w:highlight w:val="none"/>
          <w:lang w:val="en-US" w:eastAsia="zh-CN"/>
        </w:rPr>
        <w:t>6</w:t>
      </w:r>
      <w:r>
        <w:rPr>
          <w:rFonts w:hint="eastAsia" w:ascii="Times New Roman" w:hAnsi="Times New Roman" w:eastAsia="宋体"/>
          <w:color w:val="auto"/>
          <w:szCs w:val="21"/>
          <w:highlight w:val="none"/>
          <w:lang w:val="zh-CN"/>
        </w:rPr>
        <w:t>日</w:t>
      </w:r>
      <w:r>
        <w:rPr>
          <w:rFonts w:hint="eastAsia" w:ascii="Times New Roman" w:hAnsi="Times New Roman" w:eastAsia="宋体"/>
          <w:color w:val="auto"/>
          <w:szCs w:val="21"/>
          <w:highlight w:val="none"/>
          <w:lang w:val="en-US" w:eastAsia="zh-CN"/>
        </w:rPr>
        <w:t>00</w:t>
      </w:r>
      <w:r>
        <w:rPr>
          <w:rFonts w:hint="eastAsia" w:ascii="Times New Roman" w:hAnsi="Times New Roman" w:eastAsia="宋体"/>
          <w:color w:val="auto"/>
          <w:szCs w:val="21"/>
          <w:highlight w:val="none"/>
          <w:lang w:val="zh-CN"/>
        </w:rPr>
        <w:t>时00分</w:t>
      </w:r>
      <w:r>
        <w:rPr>
          <w:rFonts w:ascii="Times New Roman" w:hAnsi="Times New Roman" w:eastAsia="宋体"/>
          <w:color w:val="auto"/>
          <w:szCs w:val="21"/>
          <w:highlight w:val="none"/>
          <w:lang w:val="zh-CN"/>
        </w:rPr>
        <w:t>（北京时间，下同）。</w:t>
      </w:r>
    </w:p>
    <w:p w14:paraId="5D4A88A3">
      <w:pPr>
        <w:tabs>
          <w:tab w:val="left" w:pos="360"/>
        </w:tabs>
        <w:spacing w:line="360" w:lineRule="auto"/>
        <w:ind w:firstLine="420" w:firstLineChars="200"/>
        <w:rPr>
          <w:rFonts w:ascii="Times New Roman" w:hAnsi="Times New Roman" w:eastAsia="宋体"/>
          <w:color w:val="auto"/>
          <w:szCs w:val="21"/>
          <w:highlight w:val="none"/>
          <w:lang w:val="zh-CN"/>
        </w:rPr>
      </w:pPr>
      <w:r>
        <w:rPr>
          <w:rFonts w:hint="eastAsia" w:ascii="Times New Roman" w:hAnsi="Times New Roman" w:eastAsia="宋体"/>
          <w:color w:val="auto"/>
          <w:szCs w:val="21"/>
          <w:highlight w:val="none"/>
          <w:lang w:val="zh-CN"/>
        </w:rPr>
        <w:t>注：在下载截止时间内至少下载一次招标文件，下载一次后可不受时间限制进行下载招标文件或答疑文件。如在下载时间截止前未下载招标文件，投标人自行承担相应责任。</w:t>
      </w:r>
    </w:p>
    <w:p w14:paraId="521DCB61">
      <w:pPr>
        <w:tabs>
          <w:tab w:val="left" w:pos="360"/>
        </w:tabs>
        <w:spacing w:line="360" w:lineRule="auto"/>
        <w:ind w:firstLine="420" w:firstLineChars="200"/>
        <w:rPr>
          <w:rFonts w:ascii="Times New Roman" w:hAnsi="Times New Roman" w:eastAsia="宋体"/>
          <w:color w:val="auto"/>
          <w:szCs w:val="21"/>
          <w:highlight w:val="none"/>
          <w:lang w:val="zh-CN"/>
        </w:rPr>
      </w:pPr>
      <w:r>
        <w:rPr>
          <w:rFonts w:hint="eastAsia" w:ascii="Times New Roman" w:hAnsi="Times New Roman" w:eastAsia="宋体"/>
          <w:color w:val="auto"/>
          <w:szCs w:val="21"/>
          <w:highlight w:val="none"/>
          <w:lang w:val="zh-CN"/>
        </w:rPr>
        <w:t>有关手续请查看“黑龙江公共资源交易网”中的《服务指南》黑龙江省公共资源交易平台投标文件制作操作手册、黑龙江省公共资源交易平台工程建设投标人操作视频、黑龙江省公共资源交易平台会员注册入库操作视频，技术支持咨询联系电话：4009980000。</w:t>
      </w:r>
    </w:p>
    <w:p w14:paraId="12043824">
      <w:pPr>
        <w:tabs>
          <w:tab w:val="left" w:pos="360"/>
        </w:tabs>
        <w:spacing w:line="360" w:lineRule="auto"/>
        <w:ind w:firstLine="420" w:firstLineChars="200"/>
        <w:rPr>
          <w:rFonts w:ascii="Times New Roman" w:hAnsi="Times New Roman" w:eastAsia="宋体"/>
          <w:color w:val="auto"/>
          <w:szCs w:val="21"/>
          <w:highlight w:val="none"/>
          <w:lang w:val="zh-CN"/>
        </w:rPr>
      </w:pPr>
      <w:r>
        <w:rPr>
          <w:rFonts w:ascii="Times New Roman" w:hAnsi="Times New Roman" w:eastAsia="宋体"/>
          <w:color w:val="auto"/>
          <w:szCs w:val="21"/>
          <w:highlight w:val="none"/>
        </w:rPr>
        <w:t>4.2</w:t>
      </w:r>
      <w:bookmarkEnd w:id="3"/>
      <w:r>
        <w:rPr>
          <w:rFonts w:hint="eastAsia" w:ascii="Times New Roman" w:hAnsi="Times New Roman" w:eastAsia="宋体"/>
          <w:color w:val="auto"/>
          <w:szCs w:val="21"/>
          <w:highlight w:val="none"/>
        </w:rPr>
        <w:t>投标人未按“黑龙江省公共资源交易网”的流程要求完成全部操作的，自行承担相应责任。</w:t>
      </w:r>
    </w:p>
    <w:p w14:paraId="1A4DB4F9">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五、投标文件的递交</w:t>
      </w:r>
    </w:p>
    <w:p w14:paraId="29AB847F">
      <w:pPr>
        <w:tabs>
          <w:tab w:val="left" w:pos="360"/>
        </w:tabs>
        <w:spacing w:line="360" w:lineRule="auto"/>
        <w:ind w:firstLine="420" w:firstLineChars="200"/>
        <w:rPr>
          <w:rFonts w:ascii="Times New Roman" w:hAnsi="Times New Roman" w:eastAsia="宋体"/>
          <w:color w:val="auto"/>
          <w:szCs w:val="21"/>
          <w:highlight w:val="none"/>
        </w:rPr>
      </w:pPr>
      <w:bookmarkStart w:id="4" w:name="_Hlk527016590"/>
      <w:r>
        <w:rPr>
          <w:rFonts w:hint="eastAsia" w:ascii="Times New Roman" w:hAnsi="Times New Roman" w:eastAsia="宋体"/>
          <w:color w:val="auto"/>
          <w:szCs w:val="21"/>
          <w:highlight w:val="none"/>
        </w:rPr>
        <w:t>5.1招标人不组织踏勘现场，不召开投标预备会。</w:t>
      </w:r>
    </w:p>
    <w:p w14:paraId="182FA015">
      <w:pPr>
        <w:tabs>
          <w:tab w:val="left" w:pos="360"/>
        </w:tabs>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5.2本项目为线上开标。开标时，投标人应在线上对其投标文件进行解密。各投标人须在开标时间前安装好数字证书驱动程序，提前登录“交易平台-不见面开标大厅”，按照“黑龙江省公共资源交易网-服务指南”中的操作手册完成开标程序。</w:t>
      </w:r>
    </w:p>
    <w:p w14:paraId="15A523DE">
      <w:pPr>
        <w:tabs>
          <w:tab w:val="left" w:pos="360"/>
        </w:tabs>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5.3电子投标文件递交截止时间为202</w:t>
      </w:r>
      <w:r>
        <w:rPr>
          <w:rFonts w:hint="eastAsia" w:ascii="Times New Roman" w:hAnsi="Times New Roman" w:eastAsia="宋体"/>
          <w:color w:val="auto"/>
          <w:szCs w:val="21"/>
          <w:highlight w:val="none"/>
          <w:lang w:val="en-US" w:eastAsia="zh-CN"/>
        </w:rPr>
        <w:t>4</w:t>
      </w:r>
      <w:r>
        <w:rPr>
          <w:rFonts w:hint="eastAsia" w:ascii="Times New Roman" w:hAnsi="Times New Roman" w:eastAsia="宋体"/>
          <w:color w:val="auto"/>
          <w:szCs w:val="21"/>
          <w:highlight w:val="none"/>
        </w:rPr>
        <w:t>年</w:t>
      </w:r>
      <w:r>
        <w:rPr>
          <w:rFonts w:hint="eastAsia"/>
          <w:color w:val="auto"/>
          <w:szCs w:val="21"/>
          <w:highlight w:val="none"/>
          <w:lang w:val="en-US" w:eastAsia="zh-CN"/>
        </w:rPr>
        <w:t>12</w:t>
      </w:r>
      <w:r>
        <w:rPr>
          <w:rFonts w:hint="eastAsia" w:ascii="Times New Roman" w:hAnsi="Times New Roman" w:eastAsia="宋体"/>
          <w:color w:val="auto"/>
          <w:szCs w:val="21"/>
          <w:highlight w:val="none"/>
        </w:rPr>
        <w:t>月</w:t>
      </w:r>
      <w:r>
        <w:rPr>
          <w:rFonts w:hint="eastAsia"/>
          <w:color w:val="auto"/>
          <w:szCs w:val="21"/>
          <w:highlight w:val="none"/>
          <w:lang w:val="en-US" w:eastAsia="zh-CN"/>
        </w:rPr>
        <w:t>24</w:t>
      </w:r>
      <w:r>
        <w:rPr>
          <w:rFonts w:hint="eastAsia" w:ascii="Times New Roman" w:hAnsi="Times New Roman" w:eastAsia="宋体"/>
          <w:color w:val="auto"/>
          <w:szCs w:val="21"/>
          <w:highlight w:val="none"/>
        </w:rPr>
        <w:t>日9时00分（即开标时间），投标人应于该截止时间前将加密的投标文件第一个信封（商务及技术文件）、第二个信封（报价文件）上传至“黑龙江公共资源交易网”上的“交易平台”进行网上投标。</w:t>
      </w:r>
    </w:p>
    <w:p w14:paraId="36FD34BE">
      <w:pPr>
        <w:tabs>
          <w:tab w:val="left" w:pos="360"/>
        </w:tabs>
        <w:spacing w:line="360" w:lineRule="auto"/>
        <w:ind w:firstLine="420" w:firstLineChars="20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第一信封开标时间：202</w:t>
      </w:r>
      <w:r>
        <w:rPr>
          <w:rFonts w:hint="eastAsia" w:ascii="Times New Roman" w:hAnsi="Times New Roman" w:eastAsia="宋体"/>
          <w:color w:val="auto"/>
          <w:szCs w:val="21"/>
          <w:highlight w:val="none"/>
          <w:lang w:val="en-US" w:eastAsia="zh-CN"/>
        </w:rPr>
        <w:t>4</w:t>
      </w:r>
      <w:r>
        <w:rPr>
          <w:rFonts w:hint="eastAsia" w:ascii="Times New Roman" w:hAnsi="Times New Roman" w:eastAsia="宋体"/>
          <w:color w:val="auto"/>
          <w:szCs w:val="21"/>
          <w:highlight w:val="none"/>
        </w:rPr>
        <w:t>年</w:t>
      </w:r>
      <w:r>
        <w:rPr>
          <w:rFonts w:hint="eastAsia" w:ascii="Times New Roman" w:hAnsi="Times New Roman" w:eastAsia="宋体"/>
          <w:color w:val="auto"/>
          <w:szCs w:val="21"/>
          <w:highlight w:val="none"/>
          <w:lang w:val="en-US" w:eastAsia="zh-CN"/>
        </w:rPr>
        <w:t>1</w:t>
      </w:r>
      <w:r>
        <w:rPr>
          <w:rFonts w:hint="eastAsia"/>
          <w:color w:val="auto"/>
          <w:szCs w:val="21"/>
          <w:highlight w:val="none"/>
          <w:lang w:val="en-US" w:eastAsia="zh-CN"/>
        </w:rPr>
        <w:t>2</w:t>
      </w:r>
      <w:r>
        <w:rPr>
          <w:rFonts w:hint="eastAsia" w:ascii="Times New Roman" w:hAnsi="Times New Roman" w:eastAsia="宋体"/>
          <w:color w:val="auto"/>
          <w:szCs w:val="21"/>
          <w:highlight w:val="none"/>
        </w:rPr>
        <w:t>月</w:t>
      </w:r>
      <w:r>
        <w:rPr>
          <w:rFonts w:hint="eastAsia"/>
          <w:color w:val="auto"/>
          <w:szCs w:val="21"/>
          <w:highlight w:val="none"/>
          <w:lang w:val="en-US" w:eastAsia="zh-CN"/>
        </w:rPr>
        <w:t>24</w:t>
      </w:r>
      <w:r>
        <w:rPr>
          <w:rFonts w:hint="eastAsia" w:ascii="Times New Roman" w:hAnsi="Times New Roman" w:eastAsia="宋体"/>
          <w:color w:val="auto"/>
          <w:szCs w:val="21"/>
          <w:highlight w:val="none"/>
        </w:rPr>
        <w:t>日9时00分。投标人按照交易平台提示对上传至交易平台的投标文件第一信封商务和技术文件进行解密等操作。由于投标人自身原因导致第一信解密失败等情况，投标人自行承担责任。</w:t>
      </w:r>
    </w:p>
    <w:p w14:paraId="6C826D84">
      <w:pPr>
        <w:tabs>
          <w:tab w:val="left" w:pos="360"/>
        </w:tabs>
        <w:spacing w:line="360" w:lineRule="auto"/>
        <w:ind w:firstLine="420" w:firstLineChars="200"/>
        <w:rPr>
          <w:rFonts w:ascii="Times New Roman" w:hAnsi="Times New Roman"/>
          <w:color w:val="auto"/>
          <w:szCs w:val="21"/>
          <w:highlight w:val="none"/>
        </w:rPr>
      </w:pPr>
      <w:r>
        <w:rPr>
          <w:rFonts w:hint="eastAsia" w:ascii="Times New Roman" w:hAnsi="Times New Roman" w:eastAsia="宋体"/>
          <w:color w:val="auto"/>
          <w:szCs w:val="21"/>
          <w:highlight w:val="none"/>
        </w:rPr>
        <w:t>第二信封开标时间：具体开标时间以第一个信封评审结束时间为准，招标人将于第一个信封（商务及技术文件）评审结束后在交易平台上通知第二信封开标时间，请各投标人在开评标阶段持续关注交易平台开标页面，如因投标人原因导致未能在规定时间内进行第二信封的解密等操作，投标人自行承担责任。</w:t>
      </w:r>
    </w:p>
    <w:p w14:paraId="4E6A699B">
      <w:pPr>
        <w:tabs>
          <w:tab w:val="left" w:pos="360"/>
        </w:tabs>
        <w:spacing w:line="360" w:lineRule="auto"/>
        <w:ind w:firstLine="420" w:firstLineChars="200"/>
        <w:rPr>
          <w:rFonts w:ascii="Times New Roman" w:hAnsi="Times New Roman" w:eastAsia="宋体"/>
          <w:color w:val="auto"/>
          <w:szCs w:val="21"/>
          <w:highlight w:val="none"/>
        </w:rPr>
      </w:pPr>
      <w:r>
        <w:rPr>
          <w:rFonts w:ascii="Times New Roman" w:hAnsi="Times New Roman"/>
          <w:color w:val="auto"/>
          <w:szCs w:val="21"/>
          <w:highlight w:val="none"/>
        </w:rPr>
        <w:t>5.</w:t>
      </w:r>
      <w:bookmarkEnd w:id="4"/>
      <w:r>
        <w:rPr>
          <w:rFonts w:hint="eastAsia" w:ascii="Times New Roman" w:hAnsi="Times New Roman"/>
          <w:color w:val="auto"/>
          <w:szCs w:val="21"/>
          <w:highlight w:val="none"/>
        </w:rPr>
        <w:t>4本项目投标保证金的金额：</w:t>
      </w:r>
      <w:r>
        <w:rPr>
          <w:rFonts w:hint="eastAsia" w:ascii="Times New Roman" w:hAnsi="Times New Roman"/>
          <w:color w:val="auto"/>
          <w:szCs w:val="21"/>
          <w:highlight w:val="none"/>
          <w:lang w:val="en-US" w:eastAsia="zh-CN"/>
        </w:rPr>
        <w:t>WQ</w:t>
      </w:r>
      <w:r>
        <w:rPr>
          <w:rFonts w:hint="eastAsia" w:ascii="Times New Roman" w:hAnsi="Times New Roman"/>
          <w:b/>
          <w:color w:val="auto"/>
          <w:szCs w:val="21"/>
          <w:highlight w:val="none"/>
        </w:rPr>
        <w:t>1标段</w:t>
      </w:r>
      <w:r>
        <w:rPr>
          <w:rFonts w:hint="eastAsia" w:ascii="Times New Roman" w:hAnsi="Times New Roman"/>
          <w:color w:val="auto"/>
          <w:szCs w:val="21"/>
          <w:highlight w:val="none"/>
        </w:rPr>
        <w:t>：</w:t>
      </w:r>
      <w:r>
        <w:rPr>
          <w:rFonts w:hint="eastAsia" w:ascii="Times New Roman" w:hAnsi="Times New Roman"/>
          <w:color w:val="auto"/>
          <w:szCs w:val="21"/>
          <w:highlight w:val="none"/>
          <w:lang w:val="en-US" w:eastAsia="zh-CN"/>
        </w:rPr>
        <w:t>9</w:t>
      </w:r>
      <w:r>
        <w:rPr>
          <w:rFonts w:hint="eastAsia" w:ascii="Times New Roman" w:hAnsi="Times New Roman"/>
          <w:color w:val="auto"/>
          <w:szCs w:val="21"/>
          <w:highlight w:val="none"/>
        </w:rPr>
        <w:t>万元人民币。投标保证金应采用网银转账、电汇或电子保函形式：①采用网银转账、电汇形式递交投标保证金的，投标人应在投标保证金递交截止时间之前，将投标保证金由中国人民银行核准的投标人基本存款账户汇出，汇入与黑龙江公共资源交易平台对接的银行。②采用电子保函方式递交投标保证金的，投标人应按黑龙江省公共资源交易中心的相关规定执行。</w:t>
      </w:r>
    </w:p>
    <w:p w14:paraId="2716BAD0">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六</w:t>
      </w:r>
      <w:r>
        <w:rPr>
          <w:rFonts w:hint="eastAsia" w:ascii="宋体" w:hAnsi="宋体" w:eastAsia="宋体" w:cs="宋体"/>
          <w:b/>
          <w:bCs/>
          <w:color w:val="auto"/>
          <w:sz w:val="21"/>
          <w:szCs w:val="21"/>
          <w:highlight w:val="none"/>
        </w:rPr>
        <w:t>、发布公告的媒介</w:t>
      </w:r>
    </w:p>
    <w:p w14:paraId="3DAC2F0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黑龙江公共资源交易网（http://www.hljggzyjyw.org.cn/）、黑龙江省交通运输厅(http://www.hljjt.gov.cn)网站上发布。</w:t>
      </w:r>
    </w:p>
    <w:p w14:paraId="7363676A">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七</w:t>
      </w:r>
      <w:r>
        <w:rPr>
          <w:rFonts w:hint="eastAsia" w:ascii="宋体" w:hAnsi="宋体" w:eastAsia="宋体" w:cs="宋体"/>
          <w:b/>
          <w:bCs/>
          <w:color w:val="auto"/>
          <w:sz w:val="21"/>
          <w:szCs w:val="21"/>
          <w:highlight w:val="none"/>
        </w:rPr>
        <w:t>、联系方式</w:t>
      </w:r>
    </w:p>
    <w:bookmarkEnd w:id="2"/>
    <w:p w14:paraId="62F9FBFE">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监督单位：黑龙江省交通运输厅</w:t>
      </w:r>
    </w:p>
    <w:p w14:paraId="739F6096">
      <w:pPr>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lang w:eastAsia="zh-CN"/>
        </w:rPr>
        <w:t>哈尔滨市</w:t>
      </w:r>
      <w:r>
        <w:rPr>
          <w:rFonts w:hint="eastAsia" w:ascii="宋体" w:hAnsi="宋体" w:eastAsia="宋体" w:cs="宋体"/>
          <w:color w:val="auto"/>
          <w:sz w:val="21"/>
          <w:szCs w:val="21"/>
          <w:highlight w:val="none"/>
          <w:lang w:val="en-US" w:eastAsia="zh-CN"/>
        </w:rPr>
        <w:t>香坊区赣水路1号</w:t>
      </w:r>
    </w:p>
    <w:p w14:paraId="01B85BC7">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 系 人：</w:t>
      </w:r>
      <w:r>
        <w:rPr>
          <w:rFonts w:hint="eastAsia" w:ascii="宋体" w:hAnsi="宋体" w:eastAsia="宋体" w:cs="宋体"/>
          <w:color w:val="auto"/>
          <w:sz w:val="21"/>
          <w:szCs w:val="21"/>
          <w:highlight w:val="none"/>
          <w:lang w:val="en-US" w:eastAsia="zh-CN"/>
        </w:rPr>
        <w:t>张</w:t>
      </w:r>
      <w:r>
        <w:rPr>
          <w:rFonts w:hint="eastAsia" w:ascii="宋体" w:hAnsi="宋体" w:eastAsia="宋体" w:cs="宋体"/>
          <w:color w:val="auto"/>
          <w:sz w:val="21"/>
          <w:szCs w:val="21"/>
          <w:highlight w:val="none"/>
          <w:lang w:eastAsia="zh-CN"/>
        </w:rPr>
        <w:t>先生</w:t>
      </w:r>
    </w:p>
    <w:p w14:paraId="4AB0D616">
      <w:pPr>
        <w:pStyle w:val="2"/>
        <w:ind w:left="0" w:leftChars="0" w:firstLine="48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    话：</w:t>
      </w:r>
    </w:p>
    <w:p w14:paraId="51CA8ABB">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招 标 人：方正县农村公路建设指挥部办公室</w:t>
      </w:r>
    </w:p>
    <w:p w14:paraId="4E3D24A2">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    址：方正县物华街69号</w:t>
      </w:r>
    </w:p>
    <w:p w14:paraId="535F745E">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 系 人：张先生</w:t>
      </w:r>
    </w:p>
    <w:p w14:paraId="5E3EC7B6">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    话：0451-57103815</w:t>
      </w:r>
    </w:p>
    <w:p w14:paraId="6BE549C5">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代理机构：黑龙江鹏远项目管理有限公司</w:t>
      </w:r>
    </w:p>
    <w:p w14:paraId="7B86EB56">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    址：黑龙江省哈尔滨市南岗区哈西大街与同济大街交角地段AS7栋3层08号</w:t>
      </w:r>
    </w:p>
    <w:p w14:paraId="3B02AD8B">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 系 人：马工</w:t>
      </w:r>
    </w:p>
    <w:p w14:paraId="5E2679A1">
      <w:pPr>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    话：0451-58976202</w:t>
      </w:r>
    </w:p>
    <w:p w14:paraId="40A5B9FA">
      <w:pPr>
        <w:rPr>
          <w:rFonts w:hint="eastAsia" w:ascii="宋体" w:hAnsi="宋体" w:cs="宋体"/>
          <w:b/>
          <w:color w:val="auto"/>
          <w:sz w:val="32"/>
          <w:szCs w:val="32"/>
          <w:highlight w:val="none"/>
        </w:rPr>
      </w:pPr>
      <w:r>
        <w:rPr>
          <w:rFonts w:hint="eastAsia" w:ascii="宋体" w:hAnsi="宋体" w:cs="宋体"/>
          <w:b/>
          <w:color w:val="auto"/>
          <w:sz w:val="32"/>
          <w:szCs w:val="32"/>
          <w:highlight w:val="none"/>
        </w:rPr>
        <w:br w:type="page"/>
      </w:r>
    </w:p>
    <w:p w14:paraId="0C042D1E">
      <w:pPr>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评标办法（技术评分最低标价法）</w:t>
      </w:r>
    </w:p>
    <w:p w14:paraId="6D1B2370">
      <w:pPr>
        <w:adjustRightInd w:val="0"/>
        <w:snapToGrid w:val="0"/>
        <w:spacing w:line="360" w:lineRule="exact"/>
        <w:ind w:firstLine="422" w:firstLineChars="200"/>
        <w:rPr>
          <w:rFonts w:hint="eastAsia" w:ascii="宋体" w:hAnsi="宋体"/>
          <w:b/>
          <w:color w:val="auto"/>
          <w:szCs w:val="21"/>
          <w:highlight w:val="none"/>
          <w:lang w:eastAsia="zh-CN"/>
        </w:rPr>
      </w:pPr>
      <w:r>
        <w:rPr>
          <w:rFonts w:hint="eastAsia" w:ascii="宋体" w:hAnsi="宋体"/>
          <w:b/>
          <w:color w:val="auto"/>
          <w:szCs w:val="21"/>
          <w:highlight w:val="none"/>
          <w:lang w:eastAsia="zh-CN"/>
        </w:rPr>
        <w:t>评标办法前附表</w:t>
      </w:r>
    </w:p>
    <w:tbl>
      <w:tblPr>
        <w:tblStyle w:val="9"/>
        <w:tblW w:w="90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102"/>
        <w:gridCol w:w="1843"/>
        <w:gridCol w:w="5386"/>
      </w:tblGrid>
      <w:tr w14:paraId="66FB2E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843" w:type="dxa"/>
            <w:gridSpan w:val="2"/>
            <w:noWrap w:val="0"/>
            <w:vAlign w:val="center"/>
          </w:tcPr>
          <w:p w14:paraId="6EBC13FC">
            <w:pPr>
              <w:spacing w:line="360" w:lineRule="exact"/>
              <w:jc w:val="center"/>
              <w:rPr>
                <w:rFonts w:ascii="宋体" w:hAnsi="宋体"/>
                <w:b/>
                <w:color w:val="auto"/>
                <w:szCs w:val="21"/>
                <w:highlight w:val="none"/>
              </w:rPr>
            </w:pPr>
            <w:r>
              <w:rPr>
                <w:rFonts w:hint="eastAsia" w:ascii="宋体" w:hAnsi="宋体"/>
                <w:b/>
                <w:color w:val="auto"/>
                <w:szCs w:val="21"/>
                <w:highlight w:val="none"/>
              </w:rPr>
              <w:t>条款号</w:t>
            </w:r>
          </w:p>
        </w:tc>
        <w:tc>
          <w:tcPr>
            <w:tcW w:w="7229" w:type="dxa"/>
            <w:gridSpan w:val="2"/>
            <w:noWrap w:val="0"/>
            <w:vAlign w:val="center"/>
          </w:tcPr>
          <w:p w14:paraId="0685E66C">
            <w:pPr>
              <w:spacing w:line="400" w:lineRule="exact"/>
              <w:jc w:val="center"/>
              <w:rPr>
                <w:rFonts w:ascii="宋体" w:hAnsi="宋体"/>
                <w:b/>
                <w:color w:val="auto"/>
                <w:szCs w:val="21"/>
                <w:highlight w:val="none"/>
              </w:rPr>
            </w:pPr>
            <w:r>
              <w:rPr>
                <w:rFonts w:hint="eastAsia" w:ascii="宋体" w:hAnsi="宋体"/>
                <w:b/>
                <w:color w:val="auto"/>
                <w:szCs w:val="21"/>
                <w:highlight w:val="none"/>
              </w:rPr>
              <w:t>评审因素与评审标准</w:t>
            </w:r>
          </w:p>
        </w:tc>
      </w:tr>
      <w:tr w14:paraId="5250D2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12" w:hRule="atLeast"/>
          <w:jc w:val="center"/>
        </w:trPr>
        <w:tc>
          <w:tcPr>
            <w:tcW w:w="741" w:type="dxa"/>
            <w:noWrap w:val="0"/>
            <w:vAlign w:val="center"/>
          </w:tcPr>
          <w:p w14:paraId="5194D5CB">
            <w:pPr>
              <w:spacing w:line="360" w:lineRule="exact"/>
              <w:jc w:val="center"/>
              <w:rPr>
                <w:rFonts w:ascii="宋体" w:hAnsi="宋体"/>
                <w:color w:val="auto"/>
                <w:szCs w:val="21"/>
                <w:highlight w:val="none"/>
              </w:rPr>
            </w:pPr>
            <w:r>
              <w:rPr>
                <w:rFonts w:hint="eastAsia" w:ascii="宋体" w:hAnsi="宋体"/>
                <w:color w:val="auto"/>
                <w:szCs w:val="21"/>
                <w:highlight w:val="none"/>
              </w:rPr>
              <w:t>1</w:t>
            </w:r>
          </w:p>
        </w:tc>
        <w:tc>
          <w:tcPr>
            <w:tcW w:w="1102" w:type="dxa"/>
            <w:noWrap w:val="0"/>
            <w:vAlign w:val="center"/>
          </w:tcPr>
          <w:p w14:paraId="7308F57B">
            <w:pPr>
              <w:snapToGrid w:val="0"/>
              <w:spacing w:line="360" w:lineRule="exact"/>
              <w:ind w:left="113" w:right="113"/>
              <w:jc w:val="center"/>
              <w:rPr>
                <w:rFonts w:ascii="宋体" w:hAnsi="宋体"/>
                <w:color w:val="auto"/>
                <w:szCs w:val="21"/>
                <w:highlight w:val="none"/>
              </w:rPr>
            </w:pPr>
            <w:r>
              <w:rPr>
                <w:rFonts w:hint="eastAsia" w:ascii="宋体" w:hAnsi="宋体"/>
                <w:color w:val="auto"/>
                <w:szCs w:val="21"/>
                <w:highlight w:val="none"/>
              </w:rPr>
              <w:t>评标</w:t>
            </w:r>
          </w:p>
          <w:p w14:paraId="5EC59506">
            <w:pPr>
              <w:snapToGrid w:val="0"/>
              <w:spacing w:line="360" w:lineRule="exact"/>
              <w:ind w:left="113" w:right="113"/>
              <w:jc w:val="center"/>
              <w:rPr>
                <w:rFonts w:ascii="宋体" w:hAnsi="宋体"/>
                <w:color w:val="auto"/>
                <w:szCs w:val="21"/>
                <w:highlight w:val="none"/>
              </w:rPr>
            </w:pPr>
            <w:r>
              <w:rPr>
                <w:rFonts w:hint="eastAsia" w:ascii="宋体" w:hAnsi="宋体"/>
                <w:color w:val="auto"/>
                <w:szCs w:val="21"/>
                <w:highlight w:val="none"/>
              </w:rPr>
              <w:t>方法</w:t>
            </w:r>
          </w:p>
        </w:tc>
        <w:tc>
          <w:tcPr>
            <w:tcW w:w="7229" w:type="dxa"/>
            <w:gridSpan w:val="2"/>
            <w:noWrap w:val="0"/>
            <w:vAlign w:val="center"/>
          </w:tcPr>
          <w:p w14:paraId="14DD31CB">
            <w:pPr>
              <w:keepLines/>
              <w:spacing w:line="3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评标价相等时，评标委员会依次按照以下优先顺序推荐中标候选人：</w:t>
            </w:r>
          </w:p>
          <w:p w14:paraId="72143882">
            <w:pPr>
              <w:keepLines/>
              <w:spacing w:line="3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（1）202</w:t>
            </w:r>
            <w:r>
              <w:rPr>
                <w:rFonts w:hint="eastAsia" w:ascii="宋体" w:hAnsi="宋体"/>
                <w:color w:val="auto"/>
                <w:szCs w:val="21"/>
                <w:highlight w:val="none"/>
                <w:lang w:val="en-US" w:eastAsia="zh-CN"/>
              </w:rPr>
              <w:t>3</w:t>
            </w:r>
            <w:r>
              <w:rPr>
                <w:rFonts w:hint="eastAsia" w:ascii="宋体" w:hAnsi="宋体"/>
                <w:color w:val="auto"/>
                <w:szCs w:val="21"/>
                <w:highlight w:val="none"/>
              </w:rPr>
              <w:t>年被黑龙江省交通运输厅或202</w:t>
            </w:r>
            <w:r>
              <w:rPr>
                <w:rFonts w:hint="eastAsia" w:ascii="宋体" w:hAnsi="宋体"/>
                <w:color w:val="auto"/>
                <w:szCs w:val="21"/>
                <w:highlight w:val="none"/>
                <w:lang w:val="en-US" w:eastAsia="zh-CN"/>
              </w:rPr>
              <w:t>3</w:t>
            </w:r>
            <w:r>
              <w:rPr>
                <w:rFonts w:hint="eastAsia" w:ascii="宋体" w:hAnsi="宋体"/>
                <w:color w:val="auto"/>
                <w:szCs w:val="21"/>
                <w:highlight w:val="none"/>
              </w:rPr>
              <w:t>年被交通运输部评为较高信用等级的投标人优先（如果省级和部级评价等级不一致，以最高的信用评价等级认定）；</w:t>
            </w:r>
          </w:p>
          <w:p w14:paraId="4A27B560">
            <w:pPr>
              <w:keepLines/>
              <w:spacing w:line="3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default" w:ascii="Times New Roman" w:hAnsi="Times New Roman" w:eastAsia="宋体" w:cs="Times New Roman"/>
                <w:color w:val="auto"/>
                <w:sz w:val="21"/>
                <w:highlight w:val="none"/>
              </w:rPr>
              <w:t>商务和技术得分</w:t>
            </w:r>
            <w:r>
              <w:rPr>
                <w:rFonts w:hint="eastAsia" w:ascii="宋体" w:hAnsi="宋体"/>
                <w:color w:val="auto"/>
                <w:szCs w:val="21"/>
                <w:highlight w:val="none"/>
              </w:rPr>
              <w:t>较高的投标人优先。</w:t>
            </w:r>
          </w:p>
        </w:tc>
      </w:tr>
      <w:tr w14:paraId="5443F2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41" w:type="dxa"/>
            <w:shd w:val="clear" w:color="auto" w:fill="auto"/>
            <w:noWrap w:val="0"/>
            <w:vAlign w:val="center"/>
          </w:tcPr>
          <w:p w14:paraId="0516C2E8">
            <w:pPr>
              <w:spacing w:line="360" w:lineRule="exact"/>
              <w:jc w:val="center"/>
              <w:rPr>
                <w:rFonts w:ascii="宋体" w:hAnsi="宋体"/>
                <w:color w:val="auto"/>
                <w:szCs w:val="21"/>
                <w:highlight w:val="none"/>
              </w:rPr>
            </w:pPr>
            <w:r>
              <w:rPr>
                <w:rFonts w:hint="eastAsia" w:ascii="宋体" w:hAnsi="宋体"/>
                <w:color w:val="auto"/>
                <w:szCs w:val="21"/>
                <w:highlight w:val="none"/>
              </w:rPr>
              <w:t>2.1.1</w:t>
            </w:r>
          </w:p>
          <w:p w14:paraId="2A5CAC91">
            <w:pPr>
              <w:spacing w:line="360" w:lineRule="exact"/>
              <w:jc w:val="center"/>
              <w:rPr>
                <w:rFonts w:ascii="宋体" w:hAnsi="宋体"/>
                <w:color w:val="auto"/>
                <w:szCs w:val="21"/>
                <w:highlight w:val="none"/>
              </w:rPr>
            </w:pPr>
            <w:r>
              <w:rPr>
                <w:rFonts w:hint="eastAsia" w:ascii="宋体" w:hAnsi="宋体"/>
                <w:color w:val="auto"/>
                <w:szCs w:val="21"/>
                <w:highlight w:val="none"/>
              </w:rPr>
              <w:t>2.1.3</w:t>
            </w:r>
          </w:p>
        </w:tc>
        <w:tc>
          <w:tcPr>
            <w:tcW w:w="1102" w:type="dxa"/>
            <w:shd w:val="clear" w:color="auto" w:fill="auto"/>
            <w:noWrap w:val="0"/>
            <w:vAlign w:val="center"/>
          </w:tcPr>
          <w:p w14:paraId="11B0FD91">
            <w:pPr>
              <w:spacing w:line="360" w:lineRule="exact"/>
              <w:jc w:val="center"/>
              <w:rPr>
                <w:rFonts w:ascii="宋体" w:hAnsi="宋体"/>
                <w:color w:val="auto"/>
                <w:szCs w:val="21"/>
                <w:highlight w:val="none"/>
              </w:rPr>
            </w:pPr>
            <w:r>
              <w:rPr>
                <w:rFonts w:hint="eastAsia" w:ascii="宋体" w:hAnsi="宋体"/>
                <w:color w:val="auto"/>
                <w:szCs w:val="21"/>
                <w:highlight w:val="none"/>
              </w:rPr>
              <w:t>形式评审</w:t>
            </w:r>
          </w:p>
          <w:p w14:paraId="034E314F">
            <w:pPr>
              <w:spacing w:line="360" w:lineRule="exact"/>
              <w:jc w:val="center"/>
              <w:rPr>
                <w:rFonts w:ascii="宋体" w:hAnsi="宋体"/>
                <w:color w:val="auto"/>
                <w:szCs w:val="21"/>
                <w:highlight w:val="none"/>
              </w:rPr>
            </w:pPr>
            <w:r>
              <w:rPr>
                <w:rFonts w:hint="eastAsia" w:ascii="宋体" w:hAnsi="宋体"/>
                <w:color w:val="auto"/>
                <w:szCs w:val="21"/>
                <w:highlight w:val="none"/>
              </w:rPr>
              <w:t>与响应性评审标准</w:t>
            </w:r>
          </w:p>
        </w:tc>
        <w:tc>
          <w:tcPr>
            <w:tcW w:w="7229" w:type="dxa"/>
            <w:gridSpan w:val="2"/>
            <w:shd w:val="clear" w:color="auto" w:fill="FFFFFF"/>
            <w:noWrap w:val="0"/>
            <w:vAlign w:val="center"/>
          </w:tcPr>
          <w:p w14:paraId="4CC4F9FA">
            <w:pPr>
              <w:spacing w:line="300" w:lineRule="exact"/>
              <w:rPr>
                <w:b/>
                <w:color w:val="auto"/>
                <w:szCs w:val="21"/>
                <w:highlight w:val="none"/>
              </w:rPr>
            </w:pPr>
            <w:r>
              <w:rPr>
                <w:rFonts w:hint="eastAsia"/>
                <w:b/>
                <w:color w:val="auto"/>
                <w:szCs w:val="21"/>
                <w:highlight w:val="none"/>
              </w:rPr>
              <w:t>第一个信封（商务及技术文件）评审标准：</w:t>
            </w:r>
          </w:p>
          <w:p w14:paraId="5E97BDCE">
            <w:pPr>
              <w:spacing w:line="300" w:lineRule="exact"/>
              <w:ind w:firstLine="420" w:firstLineChars="200"/>
              <w:rPr>
                <w:color w:val="auto"/>
                <w:szCs w:val="21"/>
                <w:highlight w:val="none"/>
              </w:rPr>
            </w:pPr>
            <w:r>
              <w:rPr>
                <w:color w:val="auto"/>
                <w:szCs w:val="21"/>
                <w:highlight w:val="none"/>
              </w:rPr>
              <w:t>（1）投标文件按照招标文件规定的格式、内容填写，字迹清晰可辨：</w:t>
            </w:r>
          </w:p>
          <w:p w14:paraId="31B60D59">
            <w:pPr>
              <w:spacing w:line="300" w:lineRule="exact"/>
              <w:ind w:firstLine="420" w:firstLineChars="200"/>
              <w:rPr>
                <w:color w:val="auto"/>
                <w:szCs w:val="21"/>
                <w:highlight w:val="none"/>
              </w:rPr>
            </w:pPr>
            <w:r>
              <w:rPr>
                <w:color w:val="auto"/>
                <w:szCs w:val="21"/>
                <w:highlight w:val="none"/>
              </w:rPr>
              <w:t>a.投标函按招标文件规定填报了</w:t>
            </w:r>
            <w:r>
              <w:rPr>
                <w:rFonts w:hint="eastAsia"/>
                <w:color w:val="auto"/>
                <w:szCs w:val="21"/>
                <w:highlight w:val="none"/>
              </w:rPr>
              <w:t>项目名称、标段号、补遗书编号（如有）、</w:t>
            </w:r>
            <w:r>
              <w:rPr>
                <w:color w:val="auto"/>
                <w:szCs w:val="21"/>
                <w:highlight w:val="none"/>
              </w:rPr>
              <w:t>工期</w:t>
            </w:r>
            <w:r>
              <w:rPr>
                <w:rFonts w:hint="eastAsia"/>
                <w:color w:val="auto"/>
                <w:szCs w:val="21"/>
                <w:highlight w:val="none"/>
              </w:rPr>
              <w:t>、</w:t>
            </w:r>
            <w:r>
              <w:rPr>
                <w:color w:val="auto"/>
                <w:szCs w:val="21"/>
                <w:highlight w:val="none"/>
              </w:rPr>
              <w:t>工程质量要求</w:t>
            </w:r>
            <w:r>
              <w:rPr>
                <w:rFonts w:hint="eastAsia"/>
                <w:color w:val="auto"/>
                <w:szCs w:val="21"/>
                <w:highlight w:val="none"/>
              </w:rPr>
              <w:t>及</w:t>
            </w:r>
            <w:r>
              <w:rPr>
                <w:color w:val="auto"/>
                <w:szCs w:val="21"/>
                <w:highlight w:val="none"/>
              </w:rPr>
              <w:t>安全目标；</w:t>
            </w:r>
          </w:p>
          <w:p w14:paraId="2110ECAA">
            <w:pPr>
              <w:spacing w:line="300" w:lineRule="exact"/>
              <w:ind w:firstLine="420" w:firstLineChars="200"/>
              <w:rPr>
                <w:color w:val="auto"/>
                <w:szCs w:val="21"/>
                <w:highlight w:val="none"/>
              </w:rPr>
            </w:pPr>
            <w:r>
              <w:rPr>
                <w:color w:val="auto"/>
                <w:szCs w:val="21"/>
                <w:highlight w:val="none"/>
              </w:rPr>
              <w:t>b.投标函附录的所有数据均符合招标文件规定；</w:t>
            </w:r>
          </w:p>
          <w:p w14:paraId="3702D327">
            <w:pPr>
              <w:spacing w:line="300" w:lineRule="exact"/>
              <w:ind w:firstLine="420" w:firstLineChars="200"/>
              <w:rPr>
                <w:color w:val="auto"/>
                <w:szCs w:val="21"/>
                <w:highlight w:val="none"/>
              </w:rPr>
            </w:pPr>
            <w:r>
              <w:rPr>
                <w:color w:val="auto"/>
                <w:szCs w:val="21"/>
                <w:highlight w:val="none"/>
              </w:rPr>
              <w:t>c.投标文件组成齐全完整，内容均按规定填写。</w:t>
            </w:r>
          </w:p>
          <w:p w14:paraId="54E7FB61">
            <w:pPr>
              <w:spacing w:line="300" w:lineRule="exact"/>
              <w:ind w:firstLine="420" w:firstLineChars="200"/>
              <w:rPr>
                <w:color w:val="auto"/>
                <w:szCs w:val="21"/>
                <w:highlight w:val="none"/>
              </w:rPr>
            </w:pPr>
            <w:r>
              <w:rPr>
                <w:color w:val="auto"/>
                <w:szCs w:val="21"/>
                <w:highlight w:val="none"/>
              </w:rPr>
              <w:t>（2）投标文件上法定代表人或其</w:t>
            </w:r>
            <w:r>
              <w:rPr>
                <w:rFonts w:hint="eastAsia"/>
                <w:color w:val="auto"/>
                <w:szCs w:val="21"/>
                <w:highlight w:val="none"/>
              </w:rPr>
              <w:t>委托</w:t>
            </w:r>
            <w:r>
              <w:rPr>
                <w:color w:val="auto"/>
                <w:szCs w:val="21"/>
                <w:highlight w:val="none"/>
              </w:rPr>
              <w:t>代理人的签字、投标人的单位章盖章齐全，符合招标文件规定</w:t>
            </w:r>
            <w:r>
              <w:rPr>
                <w:rFonts w:hint="eastAsia"/>
                <w:color w:val="auto"/>
                <w:szCs w:val="21"/>
                <w:highlight w:val="none"/>
              </w:rPr>
              <w:t>。</w:t>
            </w:r>
          </w:p>
          <w:p w14:paraId="5419B69E">
            <w:pPr>
              <w:spacing w:line="300" w:lineRule="exact"/>
              <w:ind w:firstLine="420" w:firstLineChars="200"/>
              <w:rPr>
                <w:color w:val="auto"/>
                <w:szCs w:val="21"/>
                <w:highlight w:val="none"/>
              </w:rPr>
            </w:pPr>
            <w:r>
              <w:rPr>
                <w:color w:val="auto"/>
                <w:szCs w:val="21"/>
                <w:highlight w:val="none"/>
              </w:rPr>
              <w:t>（</w:t>
            </w:r>
            <w:r>
              <w:rPr>
                <w:rFonts w:hint="eastAsia"/>
                <w:color w:val="auto"/>
                <w:szCs w:val="21"/>
                <w:highlight w:val="none"/>
              </w:rPr>
              <w:t>3</w:t>
            </w:r>
            <w:r>
              <w:rPr>
                <w:color w:val="auto"/>
                <w:szCs w:val="21"/>
                <w:highlight w:val="none"/>
              </w:rPr>
              <w:t>）投标人按照招标文件</w:t>
            </w:r>
            <w:r>
              <w:rPr>
                <w:rFonts w:hint="eastAsia"/>
                <w:color w:val="auto"/>
                <w:szCs w:val="21"/>
                <w:highlight w:val="none"/>
              </w:rPr>
              <w:t>的</w:t>
            </w:r>
            <w:r>
              <w:rPr>
                <w:color w:val="auto"/>
                <w:szCs w:val="21"/>
                <w:highlight w:val="none"/>
              </w:rPr>
              <w:t>规定提供了投标保证金：</w:t>
            </w:r>
          </w:p>
          <w:p w14:paraId="6DE8CD53">
            <w:pPr>
              <w:spacing w:line="300" w:lineRule="exact"/>
              <w:ind w:firstLine="420" w:firstLineChars="200"/>
              <w:rPr>
                <w:color w:val="auto"/>
                <w:szCs w:val="21"/>
                <w:highlight w:val="none"/>
              </w:rPr>
            </w:pPr>
            <w:r>
              <w:rPr>
                <w:color w:val="auto"/>
                <w:szCs w:val="21"/>
                <w:highlight w:val="none"/>
              </w:rPr>
              <w:t>a.投标</w:t>
            </w:r>
            <w:r>
              <w:rPr>
                <w:rFonts w:hint="eastAsia"/>
                <w:color w:val="auto"/>
                <w:szCs w:val="21"/>
                <w:highlight w:val="none"/>
              </w:rPr>
              <w:t>保证金</w:t>
            </w:r>
            <w:r>
              <w:rPr>
                <w:color w:val="auto"/>
                <w:szCs w:val="21"/>
                <w:highlight w:val="none"/>
              </w:rPr>
              <w:t>金额符合招标文件规定的金额</w:t>
            </w:r>
            <w:r>
              <w:rPr>
                <w:rFonts w:hint="eastAsia"/>
                <w:color w:val="auto"/>
                <w:szCs w:val="21"/>
                <w:highlight w:val="none"/>
              </w:rPr>
              <w:t>，且投标保证金有效期不少于投标有效期；</w:t>
            </w:r>
          </w:p>
          <w:p w14:paraId="33A497CB">
            <w:pPr>
              <w:spacing w:line="300" w:lineRule="exact"/>
              <w:ind w:firstLine="420" w:firstLineChars="200"/>
              <w:rPr>
                <w:color w:val="auto"/>
                <w:szCs w:val="21"/>
                <w:highlight w:val="none"/>
              </w:rPr>
            </w:pPr>
            <w:r>
              <w:rPr>
                <w:color w:val="auto"/>
                <w:szCs w:val="21"/>
                <w:highlight w:val="none"/>
              </w:rPr>
              <w:t>b.若投标保证金</w:t>
            </w:r>
            <w:r>
              <w:rPr>
                <w:rFonts w:hint="eastAsia"/>
                <w:color w:val="auto"/>
                <w:szCs w:val="21"/>
                <w:highlight w:val="none"/>
              </w:rPr>
              <w:t>采用</w:t>
            </w:r>
            <w:r>
              <w:rPr>
                <w:color w:val="auto"/>
                <w:szCs w:val="21"/>
                <w:highlight w:val="none"/>
              </w:rPr>
              <w:t>现金或支票形式提</w:t>
            </w:r>
            <w:r>
              <w:rPr>
                <w:rFonts w:hint="eastAsia"/>
                <w:color w:val="auto"/>
                <w:szCs w:val="21"/>
                <w:highlight w:val="none"/>
              </w:rPr>
              <w:t>交</w:t>
            </w:r>
            <w:r>
              <w:rPr>
                <w:color w:val="auto"/>
                <w:szCs w:val="21"/>
                <w:highlight w:val="none"/>
              </w:rPr>
              <w:t>，投标人</w:t>
            </w:r>
            <w:r>
              <w:rPr>
                <w:rFonts w:hint="eastAsia"/>
                <w:color w:val="auto"/>
                <w:szCs w:val="21"/>
                <w:highlight w:val="none"/>
              </w:rPr>
              <w:t>应</w:t>
            </w:r>
            <w:r>
              <w:rPr>
                <w:color w:val="auto"/>
                <w:szCs w:val="21"/>
                <w:highlight w:val="none"/>
              </w:rPr>
              <w:t>在</w:t>
            </w:r>
            <w:r>
              <w:rPr>
                <w:rFonts w:hint="eastAsia"/>
                <w:color w:val="auto"/>
                <w:szCs w:val="21"/>
                <w:highlight w:val="none"/>
              </w:rPr>
              <w:t>递交投标</w:t>
            </w:r>
            <w:r>
              <w:rPr>
                <w:color w:val="auto"/>
                <w:szCs w:val="21"/>
                <w:highlight w:val="none"/>
              </w:rPr>
              <w:t>文件</w:t>
            </w:r>
            <w:r>
              <w:rPr>
                <w:rFonts w:hint="eastAsia"/>
                <w:color w:val="auto"/>
                <w:szCs w:val="21"/>
                <w:highlight w:val="none"/>
              </w:rPr>
              <w:t>截止时间之前</w:t>
            </w:r>
            <w:r>
              <w:rPr>
                <w:color w:val="auto"/>
                <w:szCs w:val="21"/>
                <w:highlight w:val="none"/>
              </w:rPr>
              <w:t>，将投标保证金由投标人的基本账户</w:t>
            </w:r>
            <w:r>
              <w:rPr>
                <w:rFonts w:hint="eastAsia"/>
                <w:color w:val="auto"/>
                <w:szCs w:val="21"/>
                <w:highlight w:val="none"/>
              </w:rPr>
              <w:t>转入发改委</w:t>
            </w:r>
            <w:r>
              <w:rPr>
                <w:color w:val="auto"/>
                <w:szCs w:val="21"/>
                <w:highlight w:val="none"/>
              </w:rPr>
              <w:t>指定账户；</w:t>
            </w:r>
          </w:p>
          <w:p w14:paraId="66255E22">
            <w:pPr>
              <w:spacing w:line="300" w:lineRule="exact"/>
              <w:ind w:firstLine="420" w:firstLineChars="200"/>
              <w:rPr>
                <w:color w:val="auto"/>
                <w:szCs w:val="21"/>
                <w:highlight w:val="none"/>
              </w:rPr>
            </w:pPr>
            <w:r>
              <w:rPr>
                <w:color w:val="auto"/>
                <w:szCs w:val="21"/>
                <w:highlight w:val="none"/>
              </w:rPr>
              <w:t>c.若投标保证金</w:t>
            </w:r>
            <w:r>
              <w:rPr>
                <w:rFonts w:hint="eastAsia"/>
                <w:color w:val="auto"/>
                <w:szCs w:val="21"/>
                <w:highlight w:val="none"/>
              </w:rPr>
              <w:t>采用</w:t>
            </w:r>
            <w:r>
              <w:rPr>
                <w:color w:val="auto"/>
                <w:szCs w:val="21"/>
                <w:highlight w:val="none"/>
              </w:rPr>
              <w:t>银行保函</w:t>
            </w:r>
            <w:r>
              <w:rPr>
                <w:rFonts w:hint="eastAsia"/>
                <w:color w:val="auto"/>
                <w:szCs w:val="21"/>
                <w:highlight w:val="none"/>
              </w:rPr>
              <w:t>形式提交</w:t>
            </w:r>
            <w:r>
              <w:rPr>
                <w:color w:val="auto"/>
                <w:szCs w:val="21"/>
                <w:highlight w:val="none"/>
              </w:rPr>
              <w:t>，银行保函的格式、开具保函的银行均满足招标文件要求，且在</w:t>
            </w:r>
            <w:r>
              <w:rPr>
                <w:rFonts w:hint="eastAsia"/>
                <w:color w:val="auto"/>
                <w:szCs w:val="21"/>
                <w:highlight w:val="none"/>
              </w:rPr>
              <w:t>递交投标</w:t>
            </w:r>
            <w:r>
              <w:rPr>
                <w:color w:val="auto"/>
                <w:szCs w:val="21"/>
                <w:highlight w:val="none"/>
              </w:rPr>
              <w:t>文件</w:t>
            </w:r>
            <w:r>
              <w:rPr>
                <w:rFonts w:hint="eastAsia"/>
                <w:color w:val="auto"/>
                <w:szCs w:val="21"/>
                <w:highlight w:val="none"/>
              </w:rPr>
              <w:t>截止时间之前</w:t>
            </w:r>
            <w:r>
              <w:rPr>
                <w:color w:val="auto"/>
                <w:szCs w:val="21"/>
                <w:highlight w:val="none"/>
              </w:rPr>
              <w:t>向招标人提交了银行保函原件。</w:t>
            </w:r>
            <w:r>
              <w:rPr>
                <w:rFonts w:hint="eastAsia"/>
                <w:color w:val="auto"/>
                <w:szCs w:val="21"/>
                <w:highlight w:val="none"/>
              </w:rPr>
              <w:t>银行保函同时满足黑龙江省公共资源交易中心的相关规定。</w:t>
            </w:r>
          </w:p>
          <w:p w14:paraId="506B0887">
            <w:pPr>
              <w:spacing w:line="300" w:lineRule="exact"/>
              <w:ind w:firstLine="420" w:firstLineChars="200"/>
              <w:rPr>
                <w:color w:val="auto"/>
                <w:szCs w:val="21"/>
                <w:highlight w:val="none"/>
              </w:rPr>
            </w:pPr>
            <w:r>
              <w:rPr>
                <w:color w:val="auto"/>
                <w:szCs w:val="21"/>
                <w:highlight w:val="none"/>
              </w:rPr>
              <w:t>（</w:t>
            </w:r>
            <w:r>
              <w:rPr>
                <w:rFonts w:hint="eastAsia"/>
                <w:color w:val="auto"/>
                <w:szCs w:val="21"/>
                <w:highlight w:val="none"/>
              </w:rPr>
              <w:t>4</w:t>
            </w:r>
            <w:r>
              <w:rPr>
                <w:color w:val="auto"/>
                <w:szCs w:val="21"/>
                <w:highlight w:val="none"/>
              </w:rPr>
              <w:t>）投标人法定代表人授权委托代理人</w:t>
            </w:r>
            <w:r>
              <w:rPr>
                <w:rFonts w:hint="eastAsia"/>
                <w:color w:val="auto"/>
                <w:szCs w:val="21"/>
                <w:highlight w:val="none"/>
              </w:rPr>
              <w:t>签署</w:t>
            </w:r>
            <w:r>
              <w:rPr>
                <w:color w:val="auto"/>
                <w:szCs w:val="21"/>
                <w:highlight w:val="none"/>
              </w:rPr>
              <w:t>投标文件的，</w:t>
            </w:r>
            <w:r>
              <w:rPr>
                <w:rFonts w:hint="eastAsia"/>
                <w:color w:val="auto"/>
                <w:szCs w:val="21"/>
                <w:highlight w:val="none"/>
              </w:rPr>
              <w:t>须</w:t>
            </w:r>
            <w:r>
              <w:rPr>
                <w:color w:val="auto"/>
                <w:szCs w:val="21"/>
                <w:highlight w:val="none"/>
              </w:rPr>
              <w:t>提交授权委托书，</w:t>
            </w:r>
            <w:r>
              <w:rPr>
                <w:rFonts w:hint="eastAsia"/>
                <w:color w:val="auto"/>
                <w:szCs w:val="21"/>
                <w:highlight w:val="none"/>
              </w:rPr>
              <w:t>且</w:t>
            </w:r>
            <w:r>
              <w:rPr>
                <w:color w:val="auto"/>
                <w:szCs w:val="21"/>
                <w:highlight w:val="none"/>
              </w:rPr>
              <w:t>授权人和被授权人均在授权</w:t>
            </w:r>
            <w:r>
              <w:rPr>
                <w:rFonts w:hint="eastAsia"/>
                <w:color w:val="auto"/>
                <w:szCs w:val="21"/>
                <w:highlight w:val="none"/>
              </w:rPr>
              <w:t>委托</w:t>
            </w:r>
            <w:r>
              <w:rPr>
                <w:color w:val="auto"/>
                <w:szCs w:val="21"/>
                <w:highlight w:val="none"/>
              </w:rPr>
              <w:t>书上签名，</w:t>
            </w:r>
            <w:r>
              <w:rPr>
                <w:rFonts w:hint="eastAsia"/>
                <w:color w:val="auto"/>
                <w:szCs w:val="21"/>
                <w:highlight w:val="none"/>
              </w:rPr>
              <w:t>按照招标文件第九章投标文件格式的要求进行签字或电子签章。</w:t>
            </w:r>
          </w:p>
          <w:p w14:paraId="36C72FC3">
            <w:pPr>
              <w:spacing w:line="300" w:lineRule="exact"/>
              <w:ind w:firstLine="420" w:firstLineChars="200"/>
              <w:rPr>
                <w:color w:val="auto"/>
                <w:szCs w:val="21"/>
                <w:highlight w:val="none"/>
              </w:rPr>
            </w:pPr>
            <w:r>
              <w:rPr>
                <w:color w:val="auto"/>
                <w:szCs w:val="21"/>
                <w:highlight w:val="none"/>
              </w:rPr>
              <w:t>（</w:t>
            </w:r>
            <w:r>
              <w:rPr>
                <w:rFonts w:hint="eastAsia"/>
                <w:color w:val="auto"/>
                <w:szCs w:val="21"/>
                <w:highlight w:val="none"/>
              </w:rPr>
              <w:t>5</w:t>
            </w:r>
            <w:r>
              <w:rPr>
                <w:color w:val="auto"/>
                <w:szCs w:val="21"/>
                <w:highlight w:val="none"/>
              </w:rPr>
              <w:t>）投标人法定代表人亲自签署投标文件的，提供了法定代表人身份证明，</w:t>
            </w:r>
            <w:r>
              <w:rPr>
                <w:rFonts w:hint="eastAsia"/>
                <w:color w:val="auto"/>
                <w:szCs w:val="21"/>
                <w:highlight w:val="none"/>
              </w:rPr>
              <w:t>且</w:t>
            </w:r>
            <w:r>
              <w:rPr>
                <w:color w:val="auto"/>
                <w:szCs w:val="21"/>
                <w:highlight w:val="none"/>
              </w:rPr>
              <w:t>法定代表人在法定代表人身份证明上签名，</w:t>
            </w:r>
            <w:r>
              <w:rPr>
                <w:rFonts w:hint="eastAsia"/>
                <w:color w:val="auto"/>
                <w:szCs w:val="21"/>
                <w:highlight w:val="none"/>
              </w:rPr>
              <w:t>按照招标文件第九章投标文件格式的要求进行签字或电子签章。</w:t>
            </w:r>
          </w:p>
          <w:p w14:paraId="7774D2FD">
            <w:pPr>
              <w:spacing w:line="300" w:lineRule="exact"/>
              <w:ind w:firstLine="420" w:firstLineChars="200"/>
              <w:rPr>
                <w:color w:val="auto"/>
                <w:szCs w:val="21"/>
                <w:highlight w:val="none"/>
              </w:rPr>
            </w:pPr>
            <w:r>
              <w:rPr>
                <w:rFonts w:hint="eastAsia"/>
                <w:color w:val="auto"/>
                <w:szCs w:val="21"/>
                <w:highlight w:val="none"/>
              </w:rPr>
              <w:t>（6</w:t>
            </w:r>
            <w:r>
              <w:rPr>
                <w:color w:val="auto"/>
                <w:szCs w:val="21"/>
                <w:highlight w:val="none"/>
              </w:rPr>
              <w:t>）投标人</w:t>
            </w:r>
            <w:r>
              <w:rPr>
                <w:rFonts w:hint="eastAsia"/>
                <w:color w:val="auto"/>
                <w:szCs w:val="21"/>
                <w:highlight w:val="none"/>
              </w:rPr>
              <w:t>未</w:t>
            </w:r>
            <w:r>
              <w:rPr>
                <w:color w:val="auto"/>
                <w:szCs w:val="21"/>
                <w:highlight w:val="none"/>
              </w:rPr>
              <w:t>以联合体形式投标</w:t>
            </w:r>
            <w:r>
              <w:rPr>
                <w:rFonts w:hint="eastAsia"/>
                <w:color w:val="auto"/>
                <w:szCs w:val="21"/>
                <w:highlight w:val="none"/>
              </w:rPr>
              <w:t>。</w:t>
            </w:r>
          </w:p>
          <w:p w14:paraId="673F3F06">
            <w:pPr>
              <w:spacing w:line="300" w:lineRule="exact"/>
              <w:ind w:firstLine="420" w:firstLineChars="200"/>
              <w:rPr>
                <w:color w:val="auto"/>
                <w:szCs w:val="21"/>
                <w:highlight w:val="none"/>
              </w:rPr>
            </w:pPr>
            <w:r>
              <w:rPr>
                <w:rFonts w:hint="eastAsia"/>
                <w:color w:val="auto"/>
                <w:szCs w:val="21"/>
                <w:highlight w:val="none"/>
              </w:rPr>
              <w:t>（7</w:t>
            </w:r>
            <w:r>
              <w:rPr>
                <w:color w:val="auto"/>
                <w:szCs w:val="21"/>
                <w:highlight w:val="none"/>
              </w:rPr>
              <w:t>）同一投标人</w:t>
            </w:r>
            <w:r>
              <w:rPr>
                <w:rFonts w:hint="eastAsia"/>
                <w:color w:val="auto"/>
                <w:szCs w:val="21"/>
                <w:highlight w:val="none"/>
              </w:rPr>
              <w:t>未</w:t>
            </w:r>
            <w:r>
              <w:rPr>
                <w:color w:val="auto"/>
                <w:szCs w:val="21"/>
                <w:highlight w:val="none"/>
              </w:rPr>
              <w:t>提交两个以上不同的投标文件</w:t>
            </w:r>
            <w:r>
              <w:rPr>
                <w:rFonts w:hint="eastAsia"/>
                <w:color w:val="auto"/>
                <w:szCs w:val="21"/>
                <w:highlight w:val="none"/>
              </w:rPr>
              <w:t>。</w:t>
            </w:r>
          </w:p>
          <w:p w14:paraId="2A6BD40F">
            <w:pPr>
              <w:spacing w:line="300" w:lineRule="exact"/>
              <w:ind w:firstLine="420" w:firstLineChars="200"/>
              <w:rPr>
                <w:color w:val="auto"/>
                <w:szCs w:val="21"/>
                <w:highlight w:val="none"/>
              </w:rPr>
            </w:pPr>
            <w:r>
              <w:rPr>
                <w:rFonts w:hint="eastAsia"/>
                <w:color w:val="auto"/>
                <w:szCs w:val="21"/>
                <w:highlight w:val="none"/>
              </w:rPr>
              <w:t>（8）投标文件第一个信封中未出现有关投标报价的内容。</w:t>
            </w:r>
          </w:p>
          <w:p w14:paraId="7CD4D0FC">
            <w:pPr>
              <w:spacing w:line="300" w:lineRule="exact"/>
              <w:ind w:firstLine="420" w:firstLineChars="200"/>
              <w:rPr>
                <w:color w:val="auto"/>
                <w:szCs w:val="21"/>
                <w:highlight w:val="none"/>
              </w:rPr>
            </w:pPr>
            <w:r>
              <w:rPr>
                <w:rFonts w:hint="eastAsia"/>
                <w:color w:val="auto"/>
                <w:szCs w:val="21"/>
                <w:highlight w:val="none"/>
              </w:rPr>
              <w:t>（9</w:t>
            </w:r>
            <w:r>
              <w:rPr>
                <w:color w:val="auto"/>
                <w:szCs w:val="21"/>
                <w:highlight w:val="none"/>
              </w:rPr>
              <w:t>）投标文件载明的招标项目完成期限未超过招标文件规定的时限。</w:t>
            </w:r>
          </w:p>
          <w:p w14:paraId="00D8D777">
            <w:pPr>
              <w:spacing w:line="300" w:lineRule="exact"/>
              <w:ind w:firstLine="420" w:firstLineChars="200"/>
              <w:rPr>
                <w:color w:val="auto"/>
                <w:szCs w:val="21"/>
                <w:highlight w:val="none"/>
              </w:rPr>
            </w:pPr>
            <w:r>
              <w:rPr>
                <w:rFonts w:hint="eastAsia"/>
                <w:color w:val="auto"/>
                <w:szCs w:val="21"/>
                <w:highlight w:val="none"/>
              </w:rPr>
              <w:t>（</w:t>
            </w:r>
            <w:r>
              <w:rPr>
                <w:color w:val="auto"/>
                <w:szCs w:val="21"/>
                <w:highlight w:val="none"/>
              </w:rPr>
              <w:t>1</w:t>
            </w:r>
            <w:r>
              <w:rPr>
                <w:rFonts w:hint="eastAsia"/>
                <w:color w:val="auto"/>
                <w:szCs w:val="21"/>
                <w:highlight w:val="none"/>
              </w:rPr>
              <w:t>0</w:t>
            </w:r>
            <w:r>
              <w:rPr>
                <w:color w:val="auto"/>
                <w:szCs w:val="21"/>
                <w:highlight w:val="none"/>
              </w:rPr>
              <w:t>）投标文件对招标文件的实质性要求和条件作出响应。</w:t>
            </w:r>
          </w:p>
          <w:p w14:paraId="39739366">
            <w:pPr>
              <w:spacing w:line="300" w:lineRule="exact"/>
              <w:ind w:firstLine="420" w:firstLineChars="200"/>
              <w:rPr>
                <w:color w:val="auto"/>
                <w:szCs w:val="21"/>
                <w:highlight w:val="none"/>
              </w:rPr>
            </w:pPr>
            <w:r>
              <w:rPr>
                <w:rFonts w:hint="eastAsia"/>
                <w:color w:val="auto"/>
                <w:szCs w:val="21"/>
                <w:highlight w:val="none"/>
              </w:rPr>
              <w:t>（</w:t>
            </w:r>
            <w:r>
              <w:rPr>
                <w:color w:val="auto"/>
                <w:szCs w:val="21"/>
                <w:highlight w:val="none"/>
              </w:rPr>
              <w:t>1</w:t>
            </w:r>
            <w:r>
              <w:rPr>
                <w:rFonts w:hint="eastAsia"/>
                <w:color w:val="auto"/>
                <w:szCs w:val="21"/>
                <w:highlight w:val="none"/>
              </w:rPr>
              <w:t>1</w:t>
            </w:r>
            <w:r>
              <w:rPr>
                <w:color w:val="auto"/>
                <w:szCs w:val="21"/>
                <w:highlight w:val="none"/>
              </w:rPr>
              <w:t>）权利义务符合招标文件规定：</w:t>
            </w:r>
          </w:p>
          <w:p w14:paraId="248CE23B">
            <w:pPr>
              <w:spacing w:line="300" w:lineRule="exact"/>
              <w:ind w:firstLine="420" w:firstLineChars="200"/>
              <w:rPr>
                <w:color w:val="auto"/>
                <w:szCs w:val="21"/>
                <w:highlight w:val="none"/>
              </w:rPr>
            </w:pPr>
            <w:r>
              <w:rPr>
                <w:color w:val="auto"/>
                <w:szCs w:val="21"/>
                <w:highlight w:val="none"/>
              </w:rPr>
              <w:t>a.投标人应接受招标文件规定的风险划分原则，未提出新的风险划分办法；</w:t>
            </w:r>
          </w:p>
          <w:p w14:paraId="2437246C">
            <w:pPr>
              <w:spacing w:line="300" w:lineRule="exact"/>
              <w:ind w:firstLine="420" w:firstLineChars="200"/>
              <w:rPr>
                <w:color w:val="auto"/>
                <w:szCs w:val="21"/>
                <w:highlight w:val="none"/>
              </w:rPr>
            </w:pPr>
            <w:r>
              <w:rPr>
                <w:color w:val="auto"/>
                <w:szCs w:val="21"/>
                <w:highlight w:val="none"/>
              </w:rPr>
              <w:t>b.投标人未增加发包人的责任范围，或减少投标人义务；</w:t>
            </w:r>
          </w:p>
          <w:p w14:paraId="5EDBF7C2">
            <w:pPr>
              <w:spacing w:line="300" w:lineRule="exact"/>
              <w:ind w:firstLine="420" w:firstLineChars="200"/>
              <w:rPr>
                <w:color w:val="auto"/>
                <w:szCs w:val="21"/>
                <w:highlight w:val="none"/>
              </w:rPr>
            </w:pPr>
            <w:r>
              <w:rPr>
                <w:color w:val="auto"/>
                <w:szCs w:val="21"/>
                <w:highlight w:val="none"/>
              </w:rPr>
              <w:t>c.投标人未提出不同的工程验收、计量、支付办法；</w:t>
            </w:r>
          </w:p>
          <w:p w14:paraId="60A94355">
            <w:pPr>
              <w:spacing w:line="300" w:lineRule="exact"/>
              <w:ind w:firstLine="420" w:firstLineChars="200"/>
              <w:rPr>
                <w:color w:val="auto"/>
                <w:szCs w:val="21"/>
                <w:highlight w:val="none"/>
              </w:rPr>
            </w:pPr>
            <w:r>
              <w:rPr>
                <w:color w:val="auto"/>
                <w:szCs w:val="21"/>
                <w:highlight w:val="none"/>
              </w:rPr>
              <w:t>d.投标人对合同纠纷、事故处理办法未提出异议；</w:t>
            </w:r>
          </w:p>
          <w:p w14:paraId="080933FF">
            <w:pPr>
              <w:spacing w:line="300" w:lineRule="exact"/>
              <w:ind w:firstLine="420" w:firstLineChars="200"/>
              <w:rPr>
                <w:color w:val="auto"/>
                <w:szCs w:val="21"/>
                <w:highlight w:val="none"/>
              </w:rPr>
            </w:pPr>
            <w:r>
              <w:rPr>
                <w:color w:val="auto"/>
                <w:szCs w:val="21"/>
                <w:highlight w:val="none"/>
              </w:rPr>
              <w:t>e.投标人在投标活动中无欺诈行为；</w:t>
            </w:r>
          </w:p>
          <w:p w14:paraId="7FB1B986">
            <w:pPr>
              <w:spacing w:line="300" w:lineRule="exact"/>
              <w:ind w:firstLine="420" w:firstLineChars="200"/>
              <w:rPr>
                <w:color w:val="auto"/>
                <w:szCs w:val="21"/>
                <w:highlight w:val="none"/>
              </w:rPr>
            </w:pPr>
            <w:r>
              <w:rPr>
                <w:color w:val="auto"/>
                <w:szCs w:val="21"/>
                <w:highlight w:val="none"/>
              </w:rPr>
              <w:t>f.投标人未对合同条款有重要保留。</w:t>
            </w:r>
          </w:p>
          <w:p w14:paraId="7AA8B652">
            <w:pPr>
              <w:spacing w:line="300" w:lineRule="exact"/>
              <w:ind w:firstLine="420" w:firstLineChars="200"/>
              <w:rPr>
                <w:color w:val="auto"/>
                <w:highlight w:val="none"/>
              </w:rPr>
            </w:pPr>
            <w:r>
              <w:rPr>
                <w:rFonts w:hint="eastAsia"/>
                <w:color w:val="auto"/>
                <w:szCs w:val="21"/>
                <w:highlight w:val="none"/>
              </w:rPr>
              <w:t>（12</w:t>
            </w:r>
            <w:r>
              <w:rPr>
                <w:color w:val="auto"/>
                <w:szCs w:val="21"/>
                <w:highlight w:val="none"/>
              </w:rPr>
              <w:t>）不存在违反法律、法规的其他情形。</w:t>
            </w:r>
          </w:p>
          <w:p w14:paraId="04677518">
            <w:pPr>
              <w:spacing w:line="300" w:lineRule="exact"/>
              <w:rPr>
                <w:b/>
                <w:color w:val="auto"/>
                <w:szCs w:val="21"/>
                <w:highlight w:val="none"/>
              </w:rPr>
            </w:pPr>
            <w:r>
              <w:rPr>
                <w:rFonts w:hint="eastAsia"/>
                <w:b/>
                <w:color w:val="auto"/>
                <w:szCs w:val="21"/>
                <w:highlight w:val="none"/>
              </w:rPr>
              <w:t>第二个信封（报价文件）评审标准：</w:t>
            </w:r>
          </w:p>
          <w:p w14:paraId="23A45BA6">
            <w:pPr>
              <w:widowControl/>
              <w:spacing w:line="300" w:lineRule="exact"/>
              <w:ind w:left="-48" w:leftChars="-23" w:right="93" w:firstLine="48" w:firstLineChars="23"/>
              <w:rPr>
                <w:color w:val="auto"/>
                <w:szCs w:val="21"/>
                <w:highlight w:val="none"/>
              </w:rPr>
            </w:pPr>
            <w:r>
              <w:rPr>
                <w:color w:val="auto"/>
                <w:szCs w:val="21"/>
                <w:highlight w:val="none"/>
              </w:rPr>
              <w:t>（1）投标文件按照招标文件规定的格式、内容填写，字迹清晰可辨：</w:t>
            </w:r>
          </w:p>
          <w:p w14:paraId="668110B5">
            <w:pPr>
              <w:pStyle w:val="12"/>
              <w:spacing w:line="300" w:lineRule="exact"/>
              <w:ind w:left="-48" w:leftChars="-23" w:right="93" w:firstLine="48" w:firstLineChars="23"/>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a.投标函按招标文件规定填报了项目名称、标段号、补遗书编号（如有）、投标价（包括大写金额和小写金额）；</w:t>
            </w:r>
          </w:p>
          <w:p w14:paraId="0640B0C2">
            <w:pPr>
              <w:pStyle w:val="12"/>
              <w:spacing w:line="300" w:lineRule="exact"/>
              <w:ind w:left="-48" w:leftChars="-23" w:right="93" w:firstLine="48" w:firstLineChars="23"/>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b.已标价工程量清单说明文字与招标文件规定一致，未进行实质性修改和删减；</w:t>
            </w:r>
          </w:p>
          <w:p w14:paraId="5F526A08">
            <w:pPr>
              <w:pStyle w:val="12"/>
              <w:spacing w:line="300" w:lineRule="exact"/>
              <w:ind w:left="-48" w:leftChars="-23" w:right="93" w:firstLine="48" w:firstLineChars="23"/>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c.投标文件组成齐全完整，内容均按规定填写。</w:t>
            </w:r>
          </w:p>
          <w:p w14:paraId="62C709C8">
            <w:pPr>
              <w:widowControl/>
              <w:spacing w:line="300" w:lineRule="exact"/>
              <w:ind w:left="-48" w:leftChars="-23" w:right="93" w:firstLine="48" w:firstLineChars="23"/>
              <w:rPr>
                <w:color w:val="auto"/>
                <w:szCs w:val="21"/>
                <w:highlight w:val="none"/>
              </w:rPr>
            </w:pPr>
            <w:r>
              <w:rPr>
                <w:color w:val="auto"/>
                <w:szCs w:val="21"/>
                <w:highlight w:val="none"/>
              </w:rPr>
              <w:t>（2）投标文件上法定代表人或其委托代理人的签字、投标人的单位章盖章齐全，符合招标文件规定</w:t>
            </w:r>
            <w:r>
              <w:rPr>
                <w:rFonts w:hint="eastAsia"/>
                <w:color w:val="auto"/>
                <w:szCs w:val="21"/>
                <w:highlight w:val="none"/>
              </w:rPr>
              <w:t>。</w:t>
            </w:r>
          </w:p>
          <w:p w14:paraId="037D6268">
            <w:pPr>
              <w:widowControl/>
              <w:spacing w:line="300" w:lineRule="exact"/>
              <w:ind w:left="-48" w:leftChars="-23" w:right="93" w:firstLine="48" w:firstLineChars="23"/>
              <w:rPr>
                <w:color w:val="auto"/>
                <w:szCs w:val="21"/>
                <w:highlight w:val="none"/>
              </w:rPr>
            </w:pPr>
            <w:r>
              <w:rPr>
                <w:rFonts w:hint="eastAsia"/>
                <w:color w:val="auto"/>
                <w:szCs w:val="21"/>
                <w:highlight w:val="none"/>
              </w:rPr>
              <w:t>（3）投标报价中的报价未超过招标文件设定的最高投标限价。</w:t>
            </w:r>
          </w:p>
          <w:p w14:paraId="007881FE">
            <w:pPr>
              <w:widowControl/>
              <w:spacing w:line="300" w:lineRule="exact"/>
              <w:ind w:left="-48" w:leftChars="-23" w:right="93" w:firstLine="48" w:firstLineChars="23"/>
              <w:rPr>
                <w:color w:val="auto"/>
                <w:szCs w:val="21"/>
                <w:highlight w:val="none"/>
              </w:rPr>
            </w:pPr>
            <w:r>
              <w:rPr>
                <w:rFonts w:hint="eastAsia"/>
                <w:color w:val="auto"/>
                <w:szCs w:val="21"/>
                <w:highlight w:val="none"/>
              </w:rPr>
              <w:t>（4）投标报价中报价的大写金额能够确定具体数值。</w:t>
            </w:r>
          </w:p>
          <w:p w14:paraId="020B158B">
            <w:pPr>
              <w:widowControl/>
              <w:spacing w:line="300" w:lineRule="exact"/>
              <w:ind w:left="-48" w:leftChars="-23" w:right="93" w:firstLine="48" w:firstLineChars="23"/>
              <w:rPr>
                <w:color w:val="auto"/>
                <w:szCs w:val="21"/>
                <w:highlight w:val="none"/>
              </w:rPr>
            </w:pPr>
            <w:r>
              <w:rPr>
                <w:rFonts w:hint="eastAsia"/>
                <w:color w:val="auto"/>
                <w:szCs w:val="21"/>
                <w:highlight w:val="none"/>
              </w:rPr>
              <w:t>（5）同一投标人未提交两个以上不</w:t>
            </w:r>
            <w:r>
              <w:rPr>
                <w:color w:val="auto"/>
                <w:szCs w:val="21"/>
                <w:highlight w:val="none"/>
              </w:rPr>
              <w:t>同的投标报价。</w:t>
            </w:r>
          </w:p>
          <w:p w14:paraId="399F425C">
            <w:pPr>
              <w:widowControl/>
              <w:spacing w:line="300" w:lineRule="exact"/>
              <w:ind w:left="-48" w:leftChars="-23" w:right="93" w:firstLine="48" w:firstLineChars="23"/>
              <w:rPr>
                <w:color w:val="auto"/>
                <w:szCs w:val="21"/>
                <w:highlight w:val="none"/>
              </w:rPr>
            </w:pPr>
            <w:r>
              <w:rPr>
                <w:color w:val="auto"/>
                <w:szCs w:val="21"/>
                <w:highlight w:val="none"/>
              </w:rPr>
              <w:t>（</w:t>
            </w:r>
            <w:r>
              <w:rPr>
                <w:rFonts w:hint="eastAsia"/>
                <w:color w:val="auto"/>
                <w:szCs w:val="21"/>
                <w:highlight w:val="none"/>
              </w:rPr>
              <w:t>6</w:t>
            </w:r>
            <w:r>
              <w:rPr>
                <w:color w:val="auto"/>
                <w:szCs w:val="21"/>
                <w:highlight w:val="none"/>
              </w:rPr>
              <w:t>）投标人填写完毕的工程量清单未对工程量清单电子文件中的数据、格式和运算定义进行修改；工程量清单中的投标报价和投标函大写金额报价一致。</w:t>
            </w:r>
          </w:p>
          <w:p w14:paraId="443F984E">
            <w:pPr>
              <w:widowControl/>
              <w:spacing w:line="300" w:lineRule="exact"/>
              <w:ind w:left="-48" w:leftChars="-23" w:right="93" w:firstLine="48" w:firstLineChars="23"/>
              <w:rPr>
                <w:rFonts w:ascii="宋体" w:hAnsi="宋体"/>
                <w:color w:val="auto"/>
                <w:highlight w:val="none"/>
              </w:rPr>
            </w:pPr>
            <w:r>
              <w:rPr>
                <w:color w:val="auto"/>
                <w:szCs w:val="21"/>
                <w:highlight w:val="none"/>
              </w:rPr>
              <w:t>（</w:t>
            </w:r>
            <w:r>
              <w:rPr>
                <w:rFonts w:hint="eastAsia"/>
                <w:color w:val="auto"/>
                <w:szCs w:val="21"/>
                <w:highlight w:val="none"/>
              </w:rPr>
              <w:t>7</w:t>
            </w:r>
            <w:r>
              <w:rPr>
                <w:color w:val="auto"/>
                <w:szCs w:val="21"/>
                <w:highlight w:val="none"/>
              </w:rPr>
              <w:t>）</w:t>
            </w:r>
            <w:r>
              <w:rPr>
                <w:rFonts w:hint="eastAsia"/>
                <w:color w:val="auto"/>
                <w:szCs w:val="21"/>
                <w:highlight w:val="none"/>
              </w:rPr>
              <w:t>不存在违反法律、法规的其他情形。</w:t>
            </w:r>
          </w:p>
        </w:tc>
      </w:tr>
      <w:tr w14:paraId="107DF6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8" w:hRule="atLeast"/>
          <w:jc w:val="center"/>
        </w:trPr>
        <w:tc>
          <w:tcPr>
            <w:tcW w:w="741" w:type="dxa"/>
            <w:noWrap w:val="0"/>
            <w:vAlign w:val="center"/>
          </w:tcPr>
          <w:p w14:paraId="29DFD87F">
            <w:pPr>
              <w:spacing w:line="360" w:lineRule="exact"/>
              <w:jc w:val="center"/>
              <w:rPr>
                <w:rFonts w:ascii="宋体" w:hAnsi="宋体"/>
                <w:color w:val="auto"/>
                <w:szCs w:val="21"/>
                <w:highlight w:val="none"/>
              </w:rPr>
            </w:pPr>
            <w:r>
              <w:rPr>
                <w:rFonts w:hint="eastAsia" w:ascii="宋体" w:hAnsi="宋体"/>
                <w:color w:val="auto"/>
                <w:szCs w:val="21"/>
                <w:highlight w:val="none"/>
              </w:rPr>
              <w:t>2.1.2</w:t>
            </w:r>
          </w:p>
        </w:tc>
        <w:tc>
          <w:tcPr>
            <w:tcW w:w="1102" w:type="dxa"/>
            <w:noWrap w:val="0"/>
            <w:vAlign w:val="center"/>
          </w:tcPr>
          <w:p w14:paraId="20B33491">
            <w:pPr>
              <w:spacing w:line="360" w:lineRule="exact"/>
              <w:jc w:val="center"/>
              <w:rPr>
                <w:rFonts w:ascii="宋体" w:hAnsi="宋体"/>
                <w:color w:val="auto"/>
                <w:szCs w:val="21"/>
                <w:highlight w:val="none"/>
              </w:rPr>
            </w:pPr>
            <w:r>
              <w:rPr>
                <w:rFonts w:hint="eastAsia" w:ascii="宋体" w:hAnsi="宋体"/>
                <w:color w:val="auto"/>
                <w:szCs w:val="21"/>
                <w:highlight w:val="none"/>
              </w:rPr>
              <w:t>资格评审标准</w:t>
            </w:r>
          </w:p>
        </w:tc>
        <w:tc>
          <w:tcPr>
            <w:tcW w:w="7229" w:type="dxa"/>
            <w:gridSpan w:val="2"/>
            <w:noWrap w:val="0"/>
            <w:vAlign w:val="center"/>
          </w:tcPr>
          <w:p w14:paraId="2856365C">
            <w:pPr>
              <w:keepLines/>
              <w:spacing w:line="300" w:lineRule="exact"/>
              <w:rPr>
                <w:rFonts w:ascii="宋体" w:hAnsi="宋体"/>
                <w:color w:val="auto"/>
                <w:highlight w:val="none"/>
              </w:rPr>
            </w:pPr>
            <w:r>
              <w:rPr>
                <w:rFonts w:hint="eastAsia" w:ascii="宋体" w:hAnsi="宋体"/>
                <w:color w:val="auto"/>
                <w:highlight w:val="none"/>
              </w:rPr>
              <w:t xml:space="preserve">（1）投标人具备有效的营业执照、组织机构代码证、资质证书、安全生产许可证和基本账户开户许可证或经基本账户开户银行出具的基本账户信息证明、投标人在国家企业信用信息公示系统中基础信息（体现股东及出资详细信息）的网页截图。 </w:t>
            </w:r>
          </w:p>
          <w:p w14:paraId="234F115F">
            <w:pPr>
              <w:keepLines/>
              <w:spacing w:line="300" w:lineRule="exact"/>
              <w:rPr>
                <w:rFonts w:ascii="宋体" w:hAnsi="宋体"/>
                <w:color w:val="auto"/>
                <w:highlight w:val="none"/>
              </w:rPr>
            </w:pPr>
            <w:r>
              <w:rPr>
                <w:rFonts w:hint="eastAsia" w:ascii="宋体" w:hAnsi="宋体"/>
                <w:color w:val="auto"/>
                <w:highlight w:val="none"/>
              </w:rPr>
              <w:t>（2）投标人的资质等级符合招标文件第二章“投标人须知”第 1.4.1项规定。</w:t>
            </w:r>
          </w:p>
          <w:p w14:paraId="30A86BD2">
            <w:pPr>
              <w:keepLines/>
              <w:spacing w:line="300" w:lineRule="exact"/>
              <w:rPr>
                <w:rFonts w:ascii="宋体" w:hAnsi="宋体"/>
                <w:color w:val="auto"/>
                <w:highlight w:val="none"/>
              </w:rPr>
            </w:pPr>
            <w:r>
              <w:rPr>
                <w:rFonts w:hint="eastAsia" w:ascii="宋体" w:hAnsi="宋体"/>
                <w:color w:val="auto"/>
                <w:highlight w:val="none"/>
              </w:rPr>
              <w:t>（3）投标人的财务状况符合招标文件第二章“投标人须知”第 1.4.1项规定。</w:t>
            </w:r>
          </w:p>
          <w:p w14:paraId="7CA372EB">
            <w:pPr>
              <w:keepLines/>
              <w:spacing w:line="300" w:lineRule="exact"/>
              <w:rPr>
                <w:rFonts w:ascii="宋体" w:hAnsi="宋体"/>
                <w:color w:val="auto"/>
                <w:highlight w:val="none"/>
              </w:rPr>
            </w:pPr>
            <w:r>
              <w:rPr>
                <w:rFonts w:hint="eastAsia" w:ascii="宋体" w:hAnsi="宋体"/>
                <w:color w:val="auto"/>
                <w:highlight w:val="none"/>
              </w:rPr>
              <w:t>（4）投标人的类似项目业绩符合招标文件第二章“投标人须知”第 1.4.1项规定。</w:t>
            </w:r>
          </w:p>
          <w:p w14:paraId="6FF8B6E0">
            <w:pPr>
              <w:keepLines/>
              <w:spacing w:line="300" w:lineRule="exact"/>
              <w:rPr>
                <w:rFonts w:ascii="宋体" w:hAnsi="宋体"/>
                <w:color w:val="auto"/>
                <w:highlight w:val="none"/>
              </w:rPr>
            </w:pPr>
            <w:r>
              <w:rPr>
                <w:rFonts w:hint="eastAsia" w:ascii="宋体" w:hAnsi="宋体"/>
                <w:color w:val="auto"/>
                <w:highlight w:val="none"/>
              </w:rPr>
              <w:t>（5）投标人的信誉符合招标文件第二章“投标人须知”第 1.4.1项规定。</w:t>
            </w:r>
          </w:p>
          <w:p w14:paraId="61EF7752">
            <w:pPr>
              <w:keepLines/>
              <w:spacing w:line="300" w:lineRule="exact"/>
              <w:rPr>
                <w:rFonts w:ascii="宋体" w:hAnsi="宋体"/>
                <w:color w:val="auto"/>
                <w:highlight w:val="none"/>
              </w:rPr>
            </w:pPr>
            <w:r>
              <w:rPr>
                <w:rFonts w:hint="eastAsia" w:ascii="宋体" w:hAnsi="宋体"/>
                <w:color w:val="auto"/>
                <w:highlight w:val="none"/>
              </w:rPr>
              <w:t>（6）投标人的项目经理和项目总工资格、在岗情况符合招标文件第二章“投标人须知”第 1.4.1项规定。</w:t>
            </w:r>
          </w:p>
          <w:p w14:paraId="0F3562EB">
            <w:pPr>
              <w:keepLines/>
              <w:spacing w:line="300" w:lineRule="exact"/>
              <w:rPr>
                <w:rFonts w:ascii="宋体" w:hAnsi="宋体"/>
                <w:color w:val="auto"/>
                <w:highlight w:val="none"/>
              </w:rPr>
            </w:pPr>
            <w:r>
              <w:rPr>
                <w:rFonts w:hint="eastAsia" w:ascii="宋体" w:hAnsi="宋体"/>
                <w:color w:val="auto"/>
                <w:highlight w:val="none"/>
              </w:rPr>
              <w:t>（7）投标人不存在第二章“投标人须知”第1.4.3项或第1.4.4项规定的任何一种情形。</w:t>
            </w:r>
          </w:p>
          <w:p w14:paraId="37660A53">
            <w:pPr>
              <w:keepLines/>
              <w:spacing w:line="300" w:lineRule="exact"/>
              <w:rPr>
                <w:rFonts w:ascii="宋体" w:hAnsi="宋体"/>
                <w:color w:val="auto"/>
                <w:highlight w:val="none"/>
              </w:rPr>
            </w:pPr>
            <w:r>
              <w:rPr>
                <w:rFonts w:hint="eastAsia" w:ascii="宋体" w:hAnsi="宋体"/>
                <w:color w:val="auto"/>
                <w:highlight w:val="none"/>
              </w:rPr>
              <w:t xml:space="preserve">1.4.3投标人不得与本标段相关单位存在下列关联关系： </w:t>
            </w:r>
          </w:p>
          <w:p w14:paraId="7D6508AF">
            <w:pPr>
              <w:keepLines/>
              <w:spacing w:line="300" w:lineRule="exact"/>
              <w:rPr>
                <w:rFonts w:ascii="宋体" w:hAnsi="宋体"/>
                <w:color w:val="auto"/>
                <w:highlight w:val="none"/>
              </w:rPr>
            </w:pPr>
            <w:r>
              <w:rPr>
                <w:rFonts w:hint="eastAsia" w:ascii="宋体" w:hAnsi="宋体"/>
                <w:color w:val="auto"/>
                <w:highlight w:val="none"/>
              </w:rPr>
              <w:t xml:space="preserve">①为招标人不具有独立法人资格的附属机构（单位）； </w:t>
            </w:r>
          </w:p>
          <w:p w14:paraId="037297BF">
            <w:pPr>
              <w:keepLines/>
              <w:spacing w:line="300" w:lineRule="exact"/>
              <w:rPr>
                <w:rFonts w:ascii="宋体" w:hAnsi="宋体"/>
                <w:color w:val="auto"/>
                <w:highlight w:val="none"/>
              </w:rPr>
            </w:pPr>
            <w:r>
              <w:rPr>
                <w:rFonts w:hint="eastAsia" w:ascii="宋体" w:hAnsi="宋体"/>
                <w:color w:val="auto"/>
                <w:highlight w:val="none"/>
              </w:rPr>
              <w:t xml:space="preserve">②与招标人存在利害关系且可能影响招标公正性； </w:t>
            </w:r>
          </w:p>
          <w:p w14:paraId="2A282B3F">
            <w:pPr>
              <w:keepLines/>
              <w:spacing w:line="300" w:lineRule="exact"/>
              <w:rPr>
                <w:rFonts w:ascii="宋体" w:hAnsi="宋体"/>
                <w:color w:val="auto"/>
                <w:highlight w:val="none"/>
              </w:rPr>
            </w:pPr>
            <w:r>
              <w:rPr>
                <w:rFonts w:hint="eastAsia" w:ascii="宋体" w:hAnsi="宋体"/>
                <w:color w:val="auto"/>
                <w:highlight w:val="none"/>
              </w:rPr>
              <w:t xml:space="preserve">③与本标段的其他投标人同为一个单位负责人； </w:t>
            </w:r>
          </w:p>
          <w:p w14:paraId="57127422">
            <w:pPr>
              <w:keepLines/>
              <w:spacing w:line="300" w:lineRule="exact"/>
              <w:rPr>
                <w:rFonts w:ascii="宋体" w:hAnsi="宋体"/>
                <w:color w:val="auto"/>
                <w:highlight w:val="none"/>
              </w:rPr>
            </w:pPr>
            <w:r>
              <w:rPr>
                <w:rFonts w:hint="eastAsia" w:ascii="宋体" w:hAnsi="宋体"/>
                <w:color w:val="auto"/>
                <w:highlight w:val="none"/>
              </w:rPr>
              <w:t xml:space="preserve">④与本标段的其他投标人存在控股、管理关系； </w:t>
            </w:r>
          </w:p>
          <w:p w14:paraId="22CA99E8">
            <w:pPr>
              <w:keepLines/>
              <w:spacing w:line="300" w:lineRule="exact"/>
              <w:rPr>
                <w:rFonts w:ascii="宋体" w:hAnsi="宋体"/>
                <w:color w:val="auto"/>
                <w:highlight w:val="none"/>
              </w:rPr>
            </w:pPr>
            <w:r>
              <w:rPr>
                <w:rFonts w:hint="eastAsia" w:ascii="宋体" w:hAnsi="宋体"/>
                <w:color w:val="auto"/>
                <w:highlight w:val="none"/>
              </w:rPr>
              <w:t xml:space="preserve">⑤为本标段前期准备提供设计或咨询服务的法人或其任何附属机构（单位）； </w:t>
            </w:r>
          </w:p>
          <w:p w14:paraId="32129554">
            <w:pPr>
              <w:keepLines/>
              <w:spacing w:line="300" w:lineRule="exact"/>
              <w:rPr>
                <w:rFonts w:ascii="宋体" w:hAnsi="宋体"/>
                <w:color w:val="auto"/>
                <w:highlight w:val="none"/>
              </w:rPr>
            </w:pPr>
            <w:r>
              <w:rPr>
                <w:rFonts w:hint="eastAsia" w:ascii="宋体" w:hAnsi="宋体"/>
                <w:color w:val="auto"/>
                <w:highlight w:val="none"/>
              </w:rPr>
              <w:t xml:space="preserve">⑥为本标段的监理人； </w:t>
            </w:r>
          </w:p>
          <w:p w14:paraId="5377AF8A">
            <w:pPr>
              <w:keepLines/>
              <w:spacing w:line="300" w:lineRule="exact"/>
              <w:rPr>
                <w:rFonts w:ascii="宋体" w:hAnsi="宋体"/>
                <w:color w:val="auto"/>
                <w:highlight w:val="none"/>
              </w:rPr>
            </w:pPr>
            <w:r>
              <w:rPr>
                <w:rFonts w:hint="eastAsia" w:ascii="宋体" w:hAnsi="宋体"/>
                <w:color w:val="auto"/>
                <w:highlight w:val="none"/>
              </w:rPr>
              <w:t xml:space="preserve">⑦为本标段的代建人； </w:t>
            </w:r>
          </w:p>
          <w:p w14:paraId="188B3DA6">
            <w:pPr>
              <w:keepLines/>
              <w:spacing w:line="300" w:lineRule="exact"/>
              <w:rPr>
                <w:rFonts w:ascii="宋体" w:hAnsi="宋体"/>
                <w:color w:val="auto"/>
                <w:highlight w:val="none"/>
              </w:rPr>
            </w:pPr>
            <w:r>
              <w:rPr>
                <w:rFonts w:hint="eastAsia" w:ascii="宋体" w:hAnsi="宋体"/>
                <w:color w:val="auto"/>
                <w:highlight w:val="none"/>
              </w:rPr>
              <w:t xml:space="preserve">⑧为本标段的招标代理机构； </w:t>
            </w:r>
          </w:p>
          <w:p w14:paraId="010F91AA">
            <w:pPr>
              <w:keepLines/>
              <w:spacing w:line="300" w:lineRule="exact"/>
              <w:rPr>
                <w:rFonts w:ascii="宋体" w:hAnsi="宋体"/>
                <w:color w:val="auto"/>
                <w:highlight w:val="none"/>
              </w:rPr>
            </w:pPr>
            <w:r>
              <w:rPr>
                <w:rFonts w:hint="eastAsia" w:ascii="宋体" w:hAnsi="宋体"/>
                <w:color w:val="auto"/>
                <w:highlight w:val="none"/>
              </w:rPr>
              <w:t xml:space="preserve">⑨与本标段的监理人或代建人或招标代理机构同为一个法定代表人； </w:t>
            </w:r>
          </w:p>
          <w:p w14:paraId="4761918F">
            <w:pPr>
              <w:keepLines/>
              <w:spacing w:line="300" w:lineRule="exact"/>
              <w:rPr>
                <w:rFonts w:ascii="宋体" w:hAnsi="宋体"/>
                <w:color w:val="auto"/>
                <w:highlight w:val="none"/>
              </w:rPr>
            </w:pPr>
            <w:r>
              <w:rPr>
                <w:rFonts w:hint="eastAsia" w:ascii="宋体" w:hAnsi="宋体"/>
                <w:color w:val="auto"/>
                <w:highlight w:val="none"/>
              </w:rPr>
              <w:t xml:space="preserve">⑩与本标段的监理人或代建人或招标代理机构存在控股或参股关系； </w:t>
            </w:r>
          </w:p>
          <w:p w14:paraId="58B21E75">
            <w:pPr>
              <w:keepLines/>
              <w:spacing w:line="300" w:lineRule="exact"/>
              <w:rPr>
                <w:rFonts w:ascii="宋体" w:hAnsi="宋体"/>
                <w:color w:val="auto"/>
                <w:highlight w:val="none"/>
              </w:rPr>
            </w:pPr>
            <w:r>
              <w:rPr>
                <w:rFonts w:ascii="Cambria Math" w:hAnsi="Cambria Math" w:cs="Cambria Math"/>
                <w:color w:val="auto"/>
                <w:highlight w:val="none"/>
              </w:rPr>
              <w:t>⑪</w:t>
            </w:r>
            <w:r>
              <w:rPr>
                <w:rFonts w:hint="eastAsia" w:ascii="宋体" w:hAnsi="宋体" w:cs="宋体"/>
                <w:color w:val="auto"/>
                <w:highlight w:val="none"/>
              </w:rPr>
              <w:t>法律法规或投标人须知前附表规定的其他情形。</w:t>
            </w:r>
            <w:r>
              <w:rPr>
                <w:rFonts w:ascii="宋体" w:hAnsi="宋体"/>
                <w:color w:val="auto"/>
                <w:highlight w:val="none"/>
              </w:rPr>
              <w:t xml:space="preserve"> </w:t>
            </w:r>
          </w:p>
          <w:p w14:paraId="3CD1B688">
            <w:pPr>
              <w:keepLines/>
              <w:spacing w:line="300" w:lineRule="exact"/>
              <w:rPr>
                <w:rFonts w:ascii="宋体" w:hAnsi="宋体"/>
                <w:color w:val="auto"/>
                <w:highlight w:val="none"/>
              </w:rPr>
            </w:pPr>
            <w:r>
              <w:rPr>
                <w:rFonts w:hint="eastAsia" w:ascii="宋体" w:hAnsi="宋体"/>
                <w:color w:val="auto"/>
                <w:highlight w:val="none"/>
              </w:rPr>
              <w:t xml:space="preserve">1.4.4投标人不得存在下列不良状况或不良信用记录： </w:t>
            </w:r>
          </w:p>
          <w:p w14:paraId="7E44D5A2">
            <w:pPr>
              <w:keepLines/>
              <w:spacing w:line="300" w:lineRule="exact"/>
              <w:rPr>
                <w:rFonts w:ascii="宋体" w:hAnsi="宋体"/>
                <w:color w:val="auto"/>
                <w:highlight w:val="none"/>
              </w:rPr>
            </w:pPr>
            <w:r>
              <w:rPr>
                <w:rFonts w:hint="eastAsia" w:ascii="宋体" w:hAnsi="宋体"/>
                <w:color w:val="auto"/>
                <w:highlight w:val="none"/>
              </w:rPr>
              <w:t xml:space="preserve">①被省级及以上交通运输主管部门取消招标项目所在地的投标资格且处于有效期内； </w:t>
            </w:r>
          </w:p>
          <w:p w14:paraId="531D44DC">
            <w:pPr>
              <w:keepLines/>
              <w:spacing w:line="300" w:lineRule="exact"/>
              <w:rPr>
                <w:rFonts w:ascii="宋体" w:hAnsi="宋体"/>
                <w:color w:val="auto"/>
                <w:highlight w:val="none"/>
              </w:rPr>
            </w:pPr>
            <w:r>
              <w:rPr>
                <w:rFonts w:hint="eastAsia" w:ascii="宋体" w:hAnsi="宋体"/>
                <w:color w:val="auto"/>
                <w:highlight w:val="none"/>
              </w:rPr>
              <w:t xml:space="preserve">②被责令停业，暂扣或吊销执照，或吊销资质证书； </w:t>
            </w:r>
          </w:p>
          <w:p w14:paraId="3580D009">
            <w:pPr>
              <w:keepLines/>
              <w:spacing w:line="300" w:lineRule="exact"/>
              <w:rPr>
                <w:rFonts w:ascii="宋体" w:hAnsi="宋体"/>
                <w:color w:val="auto"/>
                <w:highlight w:val="none"/>
              </w:rPr>
            </w:pPr>
            <w:r>
              <w:rPr>
                <w:rFonts w:hint="eastAsia" w:ascii="宋体" w:hAnsi="宋体"/>
                <w:color w:val="auto"/>
                <w:highlight w:val="none"/>
              </w:rPr>
              <w:t xml:space="preserve">③进入清算程序，或被宣告破产，或其他丧失履约能力的情形； </w:t>
            </w:r>
          </w:p>
          <w:p w14:paraId="5DA1A4D2">
            <w:pPr>
              <w:keepLines/>
              <w:spacing w:line="300" w:lineRule="exact"/>
              <w:rPr>
                <w:rFonts w:ascii="宋体" w:hAnsi="宋体"/>
                <w:color w:val="auto"/>
                <w:highlight w:val="none"/>
              </w:rPr>
            </w:pPr>
            <w:r>
              <w:rPr>
                <w:rFonts w:hint="eastAsia" w:ascii="宋体" w:hAnsi="宋体"/>
                <w:color w:val="auto"/>
                <w:highlight w:val="none"/>
              </w:rPr>
              <w:t xml:space="preserve">④在国家企业信用信息公示系统（http://www.gsxt.gov.cn/）中被列入严重违法失信企业名单； </w:t>
            </w:r>
          </w:p>
          <w:p w14:paraId="61A9AC9C">
            <w:pPr>
              <w:keepLines/>
              <w:spacing w:line="300" w:lineRule="exact"/>
              <w:rPr>
                <w:rFonts w:ascii="宋体" w:hAnsi="宋体"/>
                <w:color w:val="auto"/>
                <w:highlight w:val="none"/>
              </w:rPr>
            </w:pPr>
            <w:r>
              <w:rPr>
                <w:rFonts w:hint="eastAsia" w:ascii="宋体" w:hAnsi="宋体"/>
                <w:color w:val="auto"/>
                <w:highlight w:val="none"/>
              </w:rPr>
              <w:t>⑤在“信用中国”网站（http: //www.creditchina.gov.cn）中，投标人被列入失信被执行人名单；</w:t>
            </w:r>
          </w:p>
          <w:p w14:paraId="78640EFA">
            <w:pPr>
              <w:keepLines/>
              <w:spacing w:line="300" w:lineRule="exact"/>
              <w:rPr>
                <w:rFonts w:ascii="宋体" w:hAnsi="宋体"/>
                <w:color w:val="auto"/>
                <w:highlight w:val="none"/>
              </w:rPr>
            </w:pPr>
            <w:r>
              <w:rPr>
                <w:rFonts w:hint="eastAsia" w:ascii="宋体" w:hAnsi="宋体"/>
                <w:color w:val="auto"/>
                <w:highlight w:val="none"/>
              </w:rPr>
              <w:t xml:space="preserve">⑥投标人或其法定代表人、拟委任的项目经理在近三年内有行贿犯罪记录的（行贿犯罪记录的认定以投标人提供的在中国裁判文书（http://wenshu.court.gov.cn/）网站上无行贿犯罪查询记录的承诺函为准）； </w:t>
            </w:r>
          </w:p>
          <w:p w14:paraId="234A4D71">
            <w:pPr>
              <w:keepLines/>
              <w:spacing w:line="300" w:lineRule="exact"/>
              <w:rPr>
                <w:rFonts w:ascii="宋体" w:hAnsi="宋体"/>
                <w:color w:val="auto"/>
                <w:highlight w:val="none"/>
              </w:rPr>
            </w:pPr>
            <w:r>
              <w:rPr>
                <w:rFonts w:hint="eastAsia" w:ascii="宋体" w:hAnsi="宋体"/>
                <w:color w:val="auto"/>
                <w:highlight w:val="none"/>
              </w:rPr>
              <w:t xml:space="preserve">⑦法律法规或投标人须知前附表规定的其他情形。 </w:t>
            </w:r>
          </w:p>
          <w:p w14:paraId="49549194">
            <w:pPr>
              <w:keepLines/>
              <w:spacing w:line="300" w:lineRule="exact"/>
              <w:rPr>
                <w:rFonts w:ascii="宋体" w:hAnsi="宋体"/>
                <w:color w:val="auto"/>
                <w:highlight w:val="none"/>
              </w:rPr>
            </w:pPr>
            <w:r>
              <w:rPr>
                <w:rFonts w:hint="eastAsia" w:ascii="宋体" w:hAnsi="宋体"/>
                <w:color w:val="auto"/>
                <w:highlight w:val="none"/>
              </w:rPr>
              <w:t>⑧在202</w:t>
            </w:r>
            <w:r>
              <w:rPr>
                <w:rFonts w:hint="eastAsia" w:ascii="宋体" w:hAnsi="宋体"/>
                <w:color w:val="auto"/>
                <w:highlight w:val="none"/>
                <w:lang w:val="en-US" w:eastAsia="zh-CN"/>
              </w:rPr>
              <w:t>3</w:t>
            </w:r>
            <w:r>
              <w:rPr>
                <w:rFonts w:hint="eastAsia" w:ascii="宋体" w:hAnsi="宋体"/>
                <w:color w:val="auto"/>
                <w:highlight w:val="none"/>
              </w:rPr>
              <w:t>年度黑龙江省交通运输厅公路施工企业信用评价或交通运输部202</w:t>
            </w:r>
            <w:r>
              <w:rPr>
                <w:rFonts w:hint="eastAsia" w:ascii="宋体" w:hAnsi="宋体"/>
                <w:color w:val="auto"/>
                <w:highlight w:val="none"/>
                <w:lang w:val="en-US" w:eastAsia="zh-CN"/>
              </w:rPr>
              <w:t>3</w:t>
            </w:r>
            <w:r>
              <w:rPr>
                <w:rFonts w:hint="eastAsia" w:ascii="宋体" w:hAnsi="宋体"/>
                <w:color w:val="auto"/>
                <w:highlight w:val="none"/>
              </w:rPr>
              <w:t>年公路施工企业全国综合信用评价中被认定为D级的投标人。</w:t>
            </w:r>
          </w:p>
          <w:p w14:paraId="182A7AB9">
            <w:pPr>
              <w:keepLines/>
              <w:spacing w:line="300" w:lineRule="exact"/>
              <w:ind w:firstLine="105" w:firstLineChars="50"/>
              <w:jc w:val="left"/>
              <w:rPr>
                <w:rFonts w:ascii="宋体" w:hAnsi="宋体"/>
                <w:color w:val="auto"/>
                <w:highlight w:val="none"/>
              </w:rPr>
            </w:pPr>
            <w:r>
              <w:rPr>
                <w:rFonts w:hint="eastAsia" w:ascii="宋体" w:hAnsi="宋体"/>
                <w:color w:val="auto"/>
                <w:highlight w:val="none"/>
              </w:rPr>
              <w:t>(8)投标人符合第二章“投标人须知”第1.4.5项规定。</w:t>
            </w:r>
          </w:p>
          <w:p w14:paraId="61F10232">
            <w:pPr>
              <w:keepLines/>
              <w:spacing w:line="300" w:lineRule="exact"/>
              <w:ind w:firstLine="105" w:firstLineChars="50"/>
              <w:jc w:val="left"/>
              <w:rPr>
                <w:rFonts w:ascii="宋体" w:hAnsi="宋体"/>
                <w:color w:val="auto"/>
                <w:szCs w:val="21"/>
                <w:highlight w:val="none"/>
              </w:rPr>
            </w:pPr>
            <w:r>
              <w:rPr>
                <w:rFonts w:hint="eastAsia" w:ascii="宋体" w:hAnsi="宋体"/>
                <w:color w:val="auto"/>
                <w:szCs w:val="21"/>
                <w:highlight w:val="none"/>
              </w:rPr>
              <w:t>1.4.5投标人进入交通运输部“全国公路建设市场信用信息管理系统（http：//glxy.mot.gov.cn）”中的公路工程施工资质企业名录，且投标人名称和资质与该名录中的相应企业名称和资质完全一致。</w:t>
            </w:r>
          </w:p>
          <w:p w14:paraId="0FB21B6D">
            <w:pPr>
              <w:keepLines/>
              <w:spacing w:line="300" w:lineRule="exact"/>
              <w:ind w:firstLine="105" w:firstLineChars="50"/>
              <w:jc w:val="left"/>
              <w:rPr>
                <w:rFonts w:ascii="宋体" w:hAnsi="宋体"/>
                <w:color w:val="auto"/>
                <w:szCs w:val="21"/>
                <w:highlight w:val="none"/>
              </w:rPr>
            </w:pPr>
            <w:r>
              <w:rPr>
                <w:rFonts w:hint="eastAsia" w:ascii="宋体" w:hAnsi="宋体"/>
                <w:color w:val="auto"/>
                <w:szCs w:val="21"/>
                <w:highlight w:val="none"/>
              </w:rPr>
              <w:t>(9)不存在违反法律、法规的其他情形。</w:t>
            </w:r>
          </w:p>
        </w:tc>
      </w:tr>
      <w:tr w14:paraId="71D71B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43" w:type="dxa"/>
            <w:gridSpan w:val="2"/>
            <w:noWrap w:val="0"/>
            <w:vAlign w:val="center"/>
          </w:tcPr>
          <w:p w14:paraId="3314F9B9">
            <w:pPr>
              <w:spacing w:line="300" w:lineRule="exact"/>
              <w:jc w:val="center"/>
              <w:rPr>
                <w:rFonts w:ascii="宋体" w:hAnsi="宋体"/>
                <w:b/>
                <w:color w:val="auto"/>
                <w:szCs w:val="21"/>
                <w:highlight w:val="none"/>
              </w:rPr>
            </w:pPr>
            <w:r>
              <w:rPr>
                <w:rFonts w:hint="eastAsia" w:ascii="宋体" w:hAnsi="宋体"/>
                <w:b/>
                <w:color w:val="auto"/>
                <w:szCs w:val="21"/>
                <w:highlight w:val="none"/>
              </w:rPr>
              <w:t>条款号</w:t>
            </w:r>
          </w:p>
        </w:tc>
        <w:tc>
          <w:tcPr>
            <w:tcW w:w="1843" w:type="dxa"/>
            <w:noWrap w:val="0"/>
            <w:vAlign w:val="center"/>
          </w:tcPr>
          <w:p w14:paraId="51C5EB0A">
            <w:pPr>
              <w:spacing w:line="300" w:lineRule="exact"/>
              <w:jc w:val="center"/>
              <w:rPr>
                <w:rFonts w:ascii="宋体" w:hAnsi="宋体"/>
                <w:b/>
                <w:color w:val="auto"/>
                <w:szCs w:val="21"/>
                <w:highlight w:val="none"/>
              </w:rPr>
            </w:pPr>
            <w:r>
              <w:rPr>
                <w:rFonts w:hint="eastAsia" w:ascii="宋体" w:hAnsi="宋体"/>
                <w:b/>
                <w:color w:val="auto"/>
                <w:szCs w:val="21"/>
                <w:highlight w:val="none"/>
              </w:rPr>
              <w:t>条款内容</w:t>
            </w:r>
          </w:p>
        </w:tc>
        <w:tc>
          <w:tcPr>
            <w:tcW w:w="5386" w:type="dxa"/>
            <w:noWrap w:val="0"/>
            <w:vAlign w:val="center"/>
          </w:tcPr>
          <w:p w14:paraId="2F1EFDE7">
            <w:pPr>
              <w:spacing w:line="300" w:lineRule="exact"/>
              <w:jc w:val="center"/>
              <w:rPr>
                <w:rFonts w:ascii="宋体" w:hAnsi="宋体"/>
                <w:color w:val="auto"/>
                <w:spacing w:val="-4"/>
                <w:szCs w:val="21"/>
                <w:highlight w:val="none"/>
              </w:rPr>
            </w:pPr>
            <w:r>
              <w:rPr>
                <w:rFonts w:hint="eastAsia" w:ascii="宋体" w:hAnsi="宋体"/>
                <w:b/>
                <w:color w:val="auto"/>
                <w:szCs w:val="21"/>
                <w:highlight w:val="none"/>
              </w:rPr>
              <w:t>编列内容</w:t>
            </w:r>
          </w:p>
        </w:tc>
      </w:tr>
      <w:tr w14:paraId="2864A0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1843" w:type="dxa"/>
            <w:gridSpan w:val="2"/>
            <w:noWrap w:val="0"/>
            <w:vAlign w:val="center"/>
          </w:tcPr>
          <w:p w14:paraId="07711D49">
            <w:pPr>
              <w:spacing w:line="300" w:lineRule="exact"/>
              <w:jc w:val="center"/>
              <w:rPr>
                <w:rFonts w:ascii="宋体" w:hAnsi="宋体"/>
                <w:color w:val="auto"/>
                <w:szCs w:val="21"/>
                <w:highlight w:val="none"/>
              </w:rPr>
            </w:pPr>
            <w:r>
              <w:rPr>
                <w:rFonts w:hint="eastAsia" w:ascii="宋体" w:hAnsi="宋体"/>
                <w:color w:val="auto"/>
                <w:szCs w:val="21"/>
                <w:highlight w:val="none"/>
              </w:rPr>
              <w:t>2.2.1</w:t>
            </w:r>
          </w:p>
        </w:tc>
        <w:tc>
          <w:tcPr>
            <w:tcW w:w="1843" w:type="dxa"/>
            <w:noWrap w:val="0"/>
            <w:vAlign w:val="center"/>
          </w:tcPr>
          <w:p w14:paraId="55FE5462">
            <w:pPr>
              <w:keepLines/>
              <w:snapToGrid w:val="0"/>
              <w:spacing w:line="300" w:lineRule="exact"/>
              <w:ind w:left="113" w:right="113"/>
              <w:jc w:val="center"/>
              <w:rPr>
                <w:rFonts w:ascii="宋体" w:hAnsi="宋体"/>
                <w:color w:val="auto"/>
                <w:spacing w:val="-4"/>
                <w:szCs w:val="21"/>
                <w:highlight w:val="none"/>
              </w:rPr>
            </w:pPr>
            <w:r>
              <w:rPr>
                <w:rFonts w:hint="eastAsia" w:ascii="宋体" w:hAnsi="宋体"/>
                <w:color w:val="auto"/>
                <w:spacing w:val="-4"/>
                <w:szCs w:val="21"/>
                <w:highlight w:val="none"/>
              </w:rPr>
              <w:t>第一个信封</w:t>
            </w:r>
          </w:p>
          <w:p w14:paraId="7D204921">
            <w:pPr>
              <w:keepLines/>
              <w:snapToGrid w:val="0"/>
              <w:spacing w:line="300" w:lineRule="exact"/>
              <w:ind w:left="113" w:right="113"/>
              <w:jc w:val="center"/>
              <w:rPr>
                <w:rFonts w:ascii="宋体" w:hAnsi="宋体"/>
                <w:color w:val="auto"/>
                <w:szCs w:val="21"/>
                <w:highlight w:val="none"/>
              </w:rPr>
            </w:pPr>
            <w:r>
              <w:rPr>
                <w:rFonts w:hint="eastAsia" w:ascii="宋体" w:hAnsi="宋体"/>
                <w:color w:val="auto"/>
                <w:spacing w:val="-4"/>
                <w:szCs w:val="21"/>
                <w:highlight w:val="none"/>
              </w:rPr>
              <w:t>评分</w:t>
            </w:r>
            <w:r>
              <w:rPr>
                <w:rFonts w:hint="eastAsia" w:ascii="宋体" w:hAnsi="宋体"/>
                <w:color w:val="auto"/>
                <w:szCs w:val="21"/>
                <w:highlight w:val="none"/>
              </w:rPr>
              <w:t>分值构成</w:t>
            </w:r>
          </w:p>
          <w:p w14:paraId="24FD9A93">
            <w:pPr>
              <w:spacing w:line="300" w:lineRule="exact"/>
              <w:jc w:val="center"/>
              <w:rPr>
                <w:rFonts w:ascii="宋体" w:hAnsi="宋体"/>
                <w:color w:val="auto"/>
                <w:szCs w:val="21"/>
                <w:highlight w:val="none"/>
              </w:rPr>
            </w:pPr>
            <w:r>
              <w:rPr>
                <w:rFonts w:hint="eastAsia" w:ascii="宋体" w:hAnsi="宋体"/>
                <w:color w:val="auto"/>
                <w:szCs w:val="21"/>
                <w:highlight w:val="none"/>
              </w:rPr>
              <w:t>(总分100分)</w:t>
            </w:r>
          </w:p>
        </w:tc>
        <w:tc>
          <w:tcPr>
            <w:tcW w:w="5386" w:type="dxa"/>
            <w:noWrap w:val="0"/>
            <w:vAlign w:val="center"/>
          </w:tcPr>
          <w:p w14:paraId="66F75479">
            <w:pPr>
              <w:spacing w:line="360" w:lineRule="atLeast"/>
              <w:rPr>
                <w:color w:val="auto"/>
                <w:szCs w:val="21"/>
                <w:highlight w:val="none"/>
              </w:rPr>
            </w:pPr>
            <w:r>
              <w:rPr>
                <w:rFonts w:hint="eastAsia"/>
                <w:color w:val="auto"/>
                <w:szCs w:val="21"/>
                <w:highlight w:val="none"/>
              </w:rPr>
              <w:t>评分内容和权重分值划分：</w:t>
            </w:r>
          </w:p>
          <w:p w14:paraId="52CD5FBC">
            <w:pPr>
              <w:spacing w:line="360" w:lineRule="atLeast"/>
              <w:rPr>
                <w:color w:val="auto"/>
                <w:szCs w:val="21"/>
                <w:highlight w:val="none"/>
              </w:rPr>
            </w:pPr>
            <w:r>
              <w:rPr>
                <w:rFonts w:hint="eastAsia"/>
                <w:color w:val="auto"/>
                <w:szCs w:val="21"/>
                <w:highlight w:val="none"/>
              </w:rPr>
              <w:t>1.施工组织设计40</w:t>
            </w:r>
            <w:r>
              <w:rPr>
                <w:color w:val="auto"/>
                <w:szCs w:val="21"/>
                <w:highlight w:val="none"/>
              </w:rPr>
              <w:t>分</w:t>
            </w:r>
          </w:p>
          <w:p w14:paraId="3025ED9A">
            <w:pPr>
              <w:spacing w:line="360" w:lineRule="atLeast"/>
              <w:rPr>
                <w:color w:val="auto"/>
                <w:szCs w:val="21"/>
                <w:highlight w:val="none"/>
              </w:rPr>
            </w:pPr>
            <w:r>
              <w:rPr>
                <w:rFonts w:hint="eastAsia"/>
                <w:color w:val="auto"/>
                <w:szCs w:val="21"/>
                <w:highlight w:val="none"/>
              </w:rPr>
              <w:t>2.主要人员：25</w:t>
            </w:r>
            <w:r>
              <w:rPr>
                <w:color w:val="auto"/>
                <w:szCs w:val="21"/>
                <w:highlight w:val="none"/>
              </w:rPr>
              <w:t>分；</w:t>
            </w:r>
          </w:p>
          <w:p w14:paraId="597C4352">
            <w:pPr>
              <w:spacing w:line="360" w:lineRule="atLeast"/>
              <w:rPr>
                <w:color w:val="auto"/>
                <w:szCs w:val="21"/>
                <w:highlight w:val="none"/>
              </w:rPr>
            </w:pPr>
            <w:r>
              <w:rPr>
                <w:rFonts w:hint="eastAsia"/>
                <w:color w:val="auto"/>
                <w:szCs w:val="21"/>
                <w:highlight w:val="none"/>
              </w:rPr>
              <w:t>3.其他评分因素：35分，其中：</w:t>
            </w:r>
          </w:p>
          <w:p w14:paraId="64E1F38D">
            <w:pPr>
              <w:spacing w:line="360" w:lineRule="atLeast"/>
              <w:ind w:firstLine="420" w:firstLineChars="200"/>
              <w:rPr>
                <w:color w:val="auto"/>
                <w:szCs w:val="21"/>
                <w:highlight w:val="none"/>
              </w:rPr>
            </w:pPr>
            <w:r>
              <w:rPr>
                <w:rFonts w:hint="eastAsia"/>
                <w:color w:val="auto"/>
                <w:szCs w:val="21"/>
                <w:highlight w:val="none"/>
              </w:rPr>
              <w:t>（1）技术能力：10分；</w:t>
            </w:r>
          </w:p>
          <w:p w14:paraId="40F4A54B">
            <w:pPr>
              <w:spacing w:line="360" w:lineRule="atLeast"/>
              <w:ind w:firstLine="420" w:firstLineChars="200"/>
              <w:rPr>
                <w:color w:val="auto"/>
                <w:szCs w:val="21"/>
                <w:highlight w:val="none"/>
              </w:rPr>
            </w:pPr>
            <w:r>
              <w:rPr>
                <w:rFonts w:hint="eastAsia"/>
                <w:color w:val="auto"/>
                <w:szCs w:val="21"/>
                <w:highlight w:val="none"/>
              </w:rPr>
              <w:t>（2）履约信誉：25分，包括：</w:t>
            </w:r>
          </w:p>
          <w:p w14:paraId="1981ED58">
            <w:pPr>
              <w:spacing w:line="360" w:lineRule="atLeast"/>
              <w:ind w:firstLine="949" w:firstLineChars="452"/>
              <w:rPr>
                <w:color w:val="auto"/>
                <w:szCs w:val="21"/>
                <w:highlight w:val="none"/>
              </w:rPr>
            </w:pPr>
            <w:r>
              <w:rPr>
                <w:rFonts w:hint="eastAsia"/>
                <w:color w:val="auto"/>
                <w:szCs w:val="21"/>
                <w:highlight w:val="none"/>
              </w:rPr>
              <w:t>1）信用评价：10分；</w:t>
            </w:r>
          </w:p>
          <w:p w14:paraId="0247E414">
            <w:pPr>
              <w:spacing w:line="300" w:lineRule="exact"/>
              <w:ind w:firstLine="945" w:firstLineChars="450"/>
              <w:rPr>
                <w:color w:val="auto"/>
                <w:szCs w:val="21"/>
                <w:highlight w:val="none"/>
              </w:rPr>
            </w:pPr>
            <w:r>
              <w:rPr>
                <w:rFonts w:hint="eastAsia"/>
                <w:color w:val="auto"/>
                <w:szCs w:val="21"/>
                <w:highlight w:val="none"/>
              </w:rPr>
              <w:t>2）企业业绩：15</w:t>
            </w:r>
            <w:r>
              <w:rPr>
                <w:color w:val="auto"/>
                <w:szCs w:val="21"/>
                <w:highlight w:val="none"/>
              </w:rPr>
              <w:t>分</w:t>
            </w:r>
            <w:r>
              <w:rPr>
                <w:rFonts w:hint="eastAsia"/>
                <w:color w:val="auto"/>
                <w:szCs w:val="21"/>
                <w:highlight w:val="none"/>
              </w:rPr>
              <w:t>。</w:t>
            </w:r>
          </w:p>
          <w:p w14:paraId="5D9B7F56">
            <w:pPr>
              <w:spacing w:line="300" w:lineRule="exact"/>
              <w:rPr>
                <w:rFonts w:ascii="宋体" w:hAnsi="宋体"/>
                <w:color w:val="auto"/>
                <w:spacing w:val="-10"/>
                <w:szCs w:val="21"/>
                <w:highlight w:val="none"/>
              </w:rPr>
            </w:pPr>
            <w:r>
              <w:rPr>
                <w:rFonts w:hint="eastAsia" w:ascii="宋体" w:hAnsi="宋体"/>
                <w:color w:val="auto"/>
                <w:szCs w:val="21"/>
                <w:highlight w:val="none"/>
              </w:rPr>
              <w:t>具体的评分标准见评标办法附件（第一个信封评分标准）</w:t>
            </w:r>
          </w:p>
        </w:tc>
      </w:tr>
      <w:tr w14:paraId="368D67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843" w:type="dxa"/>
            <w:gridSpan w:val="2"/>
            <w:noWrap w:val="0"/>
            <w:vAlign w:val="center"/>
          </w:tcPr>
          <w:p w14:paraId="674E3289">
            <w:pPr>
              <w:spacing w:line="300" w:lineRule="exact"/>
              <w:jc w:val="center"/>
              <w:rPr>
                <w:rFonts w:ascii="宋体" w:hAnsi="宋体"/>
                <w:color w:val="auto"/>
                <w:szCs w:val="21"/>
                <w:highlight w:val="none"/>
              </w:rPr>
            </w:pPr>
            <w:r>
              <w:rPr>
                <w:rFonts w:hint="eastAsia" w:ascii="宋体" w:hAnsi="宋体"/>
                <w:color w:val="auto"/>
                <w:szCs w:val="21"/>
                <w:highlight w:val="none"/>
              </w:rPr>
              <w:t>2.2.3</w:t>
            </w:r>
          </w:p>
        </w:tc>
        <w:tc>
          <w:tcPr>
            <w:tcW w:w="1843" w:type="dxa"/>
            <w:noWrap w:val="0"/>
            <w:vAlign w:val="center"/>
          </w:tcPr>
          <w:p w14:paraId="3CB3DD72">
            <w:pPr>
              <w:keepLines/>
              <w:snapToGrid w:val="0"/>
              <w:spacing w:line="300" w:lineRule="exact"/>
              <w:ind w:left="113" w:right="113"/>
              <w:jc w:val="center"/>
              <w:rPr>
                <w:rFonts w:ascii="宋体" w:hAnsi="宋体"/>
                <w:color w:val="auto"/>
                <w:spacing w:val="-4"/>
                <w:szCs w:val="21"/>
                <w:highlight w:val="none"/>
              </w:rPr>
            </w:pPr>
            <w:r>
              <w:rPr>
                <w:rFonts w:hint="eastAsia" w:ascii="宋体" w:hAnsi="宋体"/>
                <w:color w:val="auto"/>
                <w:spacing w:val="-4"/>
                <w:szCs w:val="21"/>
                <w:highlight w:val="none"/>
              </w:rPr>
              <w:t>第二个信封</w:t>
            </w:r>
          </w:p>
          <w:p w14:paraId="4E9DDBC6">
            <w:pPr>
              <w:keepLines/>
              <w:snapToGrid w:val="0"/>
              <w:spacing w:line="300" w:lineRule="exact"/>
              <w:ind w:left="113" w:right="113"/>
              <w:jc w:val="center"/>
              <w:rPr>
                <w:rFonts w:ascii="宋体" w:hAnsi="宋体"/>
                <w:color w:val="auto"/>
                <w:spacing w:val="-4"/>
                <w:szCs w:val="21"/>
                <w:highlight w:val="none"/>
              </w:rPr>
            </w:pPr>
            <w:r>
              <w:rPr>
                <w:rFonts w:hint="eastAsia" w:ascii="宋体" w:hAnsi="宋体"/>
                <w:color w:val="auto"/>
                <w:spacing w:val="-4"/>
                <w:szCs w:val="21"/>
                <w:highlight w:val="none"/>
              </w:rPr>
              <w:t>详细评审标准</w:t>
            </w:r>
          </w:p>
        </w:tc>
        <w:tc>
          <w:tcPr>
            <w:tcW w:w="5386" w:type="dxa"/>
            <w:noWrap w:val="0"/>
            <w:vAlign w:val="center"/>
          </w:tcPr>
          <w:p w14:paraId="7FCC6028">
            <w:pPr>
              <w:spacing w:line="300" w:lineRule="exact"/>
              <w:rPr>
                <w:rFonts w:ascii="宋体" w:hAnsi="宋体"/>
                <w:color w:val="auto"/>
                <w:szCs w:val="21"/>
                <w:highlight w:val="none"/>
              </w:rPr>
            </w:pPr>
            <w:r>
              <w:rPr>
                <w:rFonts w:hint="eastAsia" w:ascii="宋体" w:hAnsi="宋体"/>
                <w:color w:val="auto"/>
                <w:szCs w:val="21"/>
                <w:highlight w:val="none"/>
              </w:rPr>
              <w:t>评标价计算公式：</w:t>
            </w:r>
          </w:p>
          <w:p w14:paraId="2C59A1FD">
            <w:pPr>
              <w:spacing w:line="300" w:lineRule="exact"/>
              <w:rPr>
                <w:rFonts w:ascii="宋体" w:hAnsi="宋体"/>
                <w:color w:val="auto"/>
                <w:szCs w:val="21"/>
                <w:highlight w:val="none"/>
              </w:rPr>
            </w:pPr>
            <w:r>
              <w:rPr>
                <w:rFonts w:hint="eastAsia" w:ascii="宋体" w:hAnsi="宋体"/>
                <w:color w:val="auto"/>
                <w:szCs w:val="21"/>
                <w:highlight w:val="none"/>
              </w:rPr>
              <w:t>评标价＝投标函文字报价</w:t>
            </w:r>
          </w:p>
        </w:tc>
      </w:tr>
      <w:tr w14:paraId="203AC1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1843" w:type="dxa"/>
            <w:gridSpan w:val="2"/>
            <w:noWrap w:val="0"/>
            <w:vAlign w:val="center"/>
          </w:tcPr>
          <w:p w14:paraId="695F9BDA">
            <w:pPr>
              <w:spacing w:line="300" w:lineRule="exact"/>
              <w:jc w:val="center"/>
              <w:rPr>
                <w:rFonts w:ascii="宋体" w:hAnsi="宋体"/>
                <w:color w:val="auto"/>
                <w:szCs w:val="21"/>
                <w:highlight w:val="none"/>
              </w:rPr>
            </w:pPr>
            <w:r>
              <w:rPr>
                <w:rFonts w:hint="eastAsia" w:ascii="宋体" w:hAnsi="宋体"/>
                <w:color w:val="auto"/>
                <w:szCs w:val="21"/>
                <w:highlight w:val="none"/>
              </w:rPr>
              <w:t>3.2.4</w:t>
            </w:r>
          </w:p>
        </w:tc>
        <w:tc>
          <w:tcPr>
            <w:tcW w:w="1843" w:type="dxa"/>
            <w:noWrap w:val="0"/>
            <w:vAlign w:val="center"/>
          </w:tcPr>
          <w:p w14:paraId="045B7FD5">
            <w:pPr>
              <w:keepLines/>
              <w:snapToGrid w:val="0"/>
              <w:spacing w:line="300" w:lineRule="exact"/>
              <w:ind w:left="113" w:right="113"/>
              <w:jc w:val="center"/>
              <w:rPr>
                <w:rFonts w:ascii="宋体" w:hAnsi="宋体"/>
                <w:color w:val="auto"/>
                <w:spacing w:val="-4"/>
                <w:szCs w:val="21"/>
                <w:highlight w:val="none"/>
              </w:rPr>
            </w:pPr>
            <w:r>
              <w:rPr>
                <w:rFonts w:hint="eastAsia" w:ascii="宋体" w:hAnsi="宋体"/>
                <w:color w:val="auto"/>
                <w:spacing w:val="-4"/>
                <w:szCs w:val="21"/>
                <w:highlight w:val="none"/>
              </w:rPr>
              <w:t>通过第一个信封详细评审的投标人数量</w:t>
            </w:r>
          </w:p>
        </w:tc>
        <w:tc>
          <w:tcPr>
            <w:tcW w:w="5386" w:type="dxa"/>
            <w:noWrap w:val="0"/>
            <w:vAlign w:val="center"/>
          </w:tcPr>
          <w:p w14:paraId="3EE81B72">
            <w:pPr>
              <w:spacing w:line="300" w:lineRule="exact"/>
              <w:rPr>
                <w:rFonts w:ascii="宋体" w:hAnsi="宋体"/>
                <w:color w:val="auto"/>
                <w:szCs w:val="21"/>
                <w:highlight w:val="none"/>
              </w:rPr>
            </w:pPr>
            <w:r>
              <w:rPr>
                <w:rFonts w:hint="eastAsia" w:ascii="宋体" w:hAnsi="宋体"/>
                <w:color w:val="auto"/>
                <w:szCs w:val="21"/>
                <w:highlight w:val="none"/>
              </w:rPr>
              <w:t>按照投标人的商务和技术</w:t>
            </w:r>
            <w:r>
              <w:rPr>
                <w:rFonts w:hint="eastAsia" w:ascii="宋体" w:hAnsi="宋体"/>
                <w:color w:val="auto"/>
                <w:highlight w:val="none"/>
              </w:rPr>
              <w:t>综合得分由高到低的顺序</w:t>
            </w:r>
            <w:r>
              <w:rPr>
                <w:rFonts w:hint="eastAsia" w:ascii="宋体" w:hAnsi="宋体"/>
                <w:color w:val="auto"/>
                <w:szCs w:val="21"/>
                <w:highlight w:val="none"/>
              </w:rPr>
              <w:t>排序，选择前</w:t>
            </w:r>
            <w:r>
              <w:rPr>
                <w:rFonts w:hint="eastAsia" w:ascii="宋体" w:hAnsi="宋体"/>
                <w:b/>
                <w:color w:val="auto"/>
                <w:szCs w:val="21"/>
                <w:highlight w:val="none"/>
                <w:u w:val="single"/>
              </w:rPr>
              <w:t>3</w:t>
            </w:r>
            <w:r>
              <w:rPr>
                <w:rFonts w:hint="eastAsia" w:ascii="宋体" w:hAnsi="宋体"/>
                <w:color w:val="auto"/>
                <w:szCs w:val="21"/>
                <w:highlight w:val="none"/>
              </w:rPr>
              <w:t>名通过详细评审。</w:t>
            </w:r>
          </w:p>
        </w:tc>
      </w:tr>
      <w:tr w14:paraId="17AB33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843" w:type="dxa"/>
            <w:gridSpan w:val="2"/>
            <w:noWrap w:val="0"/>
            <w:vAlign w:val="center"/>
          </w:tcPr>
          <w:p w14:paraId="3E891E91">
            <w:pPr>
              <w:jc w:val="center"/>
              <w:rPr>
                <w:rFonts w:ascii="宋体" w:hAnsi="宋体"/>
                <w:color w:val="auto"/>
                <w:szCs w:val="21"/>
                <w:highlight w:val="none"/>
              </w:rPr>
            </w:pPr>
            <w:r>
              <w:rPr>
                <w:rFonts w:hint="eastAsia" w:ascii="宋体" w:hAnsi="宋体"/>
                <w:b/>
                <w:color w:val="auto"/>
                <w:szCs w:val="21"/>
                <w:highlight w:val="none"/>
              </w:rPr>
              <w:t>条款号</w:t>
            </w:r>
          </w:p>
        </w:tc>
        <w:tc>
          <w:tcPr>
            <w:tcW w:w="7229" w:type="dxa"/>
            <w:gridSpan w:val="2"/>
            <w:noWrap w:val="0"/>
            <w:vAlign w:val="center"/>
          </w:tcPr>
          <w:p w14:paraId="4ADE42F9">
            <w:pPr>
              <w:jc w:val="center"/>
              <w:rPr>
                <w:rFonts w:ascii="宋体" w:hAnsi="宋体"/>
                <w:color w:val="auto"/>
                <w:szCs w:val="21"/>
                <w:highlight w:val="none"/>
              </w:rPr>
            </w:pPr>
            <w:r>
              <w:rPr>
                <w:rFonts w:hint="eastAsia" w:ascii="宋体" w:hAnsi="宋体"/>
                <w:b/>
                <w:color w:val="auto"/>
                <w:szCs w:val="21"/>
                <w:highlight w:val="none"/>
              </w:rPr>
              <w:t>评审因素与评审标准</w:t>
            </w:r>
          </w:p>
        </w:tc>
      </w:tr>
      <w:tr w14:paraId="2F1C30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28" w:hRule="atLeast"/>
          <w:jc w:val="center"/>
        </w:trPr>
        <w:tc>
          <w:tcPr>
            <w:tcW w:w="9072" w:type="dxa"/>
            <w:gridSpan w:val="4"/>
            <w:noWrap w:val="0"/>
            <w:vAlign w:val="center"/>
          </w:tcPr>
          <w:p w14:paraId="394F64D4">
            <w:pPr>
              <w:keepLines/>
              <w:spacing w:line="3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3.10需要补充的其他内容：</w:t>
            </w:r>
          </w:p>
          <w:p w14:paraId="529233D6">
            <w:pPr>
              <w:keepLines/>
              <w:spacing w:line="3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3.10.1投标人的商务和技术得分相同时，评标委员会依次按照以下优先顺序确定通过第一个信封（商务及技术文件）详细评审的投标人名单：</w:t>
            </w:r>
          </w:p>
          <w:p w14:paraId="76F13F19">
            <w:pPr>
              <w:keepLines/>
              <w:spacing w:line="3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(1)202</w:t>
            </w:r>
            <w:r>
              <w:rPr>
                <w:rFonts w:hint="eastAsia" w:ascii="宋体" w:hAnsi="宋体"/>
                <w:color w:val="auto"/>
                <w:szCs w:val="21"/>
                <w:highlight w:val="none"/>
                <w:lang w:val="en-US" w:eastAsia="zh-CN"/>
              </w:rPr>
              <w:t>3</w:t>
            </w:r>
            <w:r>
              <w:rPr>
                <w:rFonts w:hint="eastAsia" w:ascii="宋体" w:hAnsi="宋体"/>
                <w:color w:val="auto"/>
                <w:szCs w:val="21"/>
                <w:highlight w:val="none"/>
              </w:rPr>
              <w:t>年度被黑龙江省交通运输厅或202</w:t>
            </w:r>
            <w:r>
              <w:rPr>
                <w:rFonts w:hint="eastAsia" w:ascii="宋体" w:hAnsi="宋体"/>
                <w:color w:val="auto"/>
                <w:szCs w:val="21"/>
                <w:highlight w:val="none"/>
                <w:lang w:val="en-US" w:eastAsia="zh-CN"/>
              </w:rPr>
              <w:t>3</w:t>
            </w:r>
            <w:r>
              <w:rPr>
                <w:rFonts w:hint="eastAsia" w:ascii="宋体" w:hAnsi="宋体"/>
                <w:color w:val="auto"/>
                <w:szCs w:val="21"/>
                <w:highlight w:val="none"/>
              </w:rPr>
              <w:t>年被交通运输部评为较高信用等级的投标人优先（如果省级和部级评价等级不一致，以最高的信用评价等级认定）；</w:t>
            </w:r>
          </w:p>
          <w:p w14:paraId="4A67A9A4">
            <w:pPr>
              <w:keepLines/>
              <w:spacing w:line="3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(2)施工组织设计得分较高的投标人优先。</w:t>
            </w:r>
          </w:p>
          <w:p w14:paraId="18C81D40">
            <w:pPr>
              <w:keepLines/>
              <w:spacing w:line="3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3.10.2评标委员会对通过第一个信封（商务及技术文件）评审的投标人的第二个信封（报价文件）进行评审后，有效投标不足3个的，评标委员会应当</w:t>
            </w:r>
            <w:r>
              <w:rPr>
                <w:rFonts w:hint="eastAsia" w:ascii="宋体" w:hAnsi="宋体"/>
                <w:color w:val="auto"/>
                <w:szCs w:val="21"/>
                <w:highlight w:val="none"/>
                <w:lang w:val="en-US" w:eastAsia="zh-CN"/>
              </w:rPr>
              <w:t>按实际数量</w:t>
            </w:r>
            <w:r>
              <w:rPr>
                <w:rFonts w:hint="eastAsia" w:ascii="宋体" w:hAnsi="宋体"/>
                <w:color w:val="auto"/>
                <w:szCs w:val="21"/>
                <w:highlight w:val="none"/>
              </w:rPr>
              <w:t>推荐中标候选人。</w:t>
            </w:r>
          </w:p>
          <w:p w14:paraId="371062A0">
            <w:pPr>
              <w:keepLines/>
              <w:spacing w:line="3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3.10.3本招标项目要求投标人按照招标人提供的工程量清单电子文件填写工程量清单，无须按照本章第3.4.2项和第3.4.3项的规定对投标报价进行修正，第3.4.2项至第3.4.4项内容不适用。</w:t>
            </w:r>
          </w:p>
          <w:p w14:paraId="7672C0D0">
            <w:pPr>
              <w:keepLines/>
              <w:spacing w:line="3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3.10.4本项目招标人设置成本价评估值。投标人报价低于成本价评估值的，评标委员会可以要求投标人对其投标报价作出书面说明，提供投标报价单价构成说明及相关证明材料（详细的清单预算、主要材料来源及价格证明材料等），并加盖投标人单位公章。投标人未提供或不能证明可以按照其报价以及招标文件规定的质量标准和履行期限完成招标项目的，评标委员会可以认定该投标人以低于成本价竞标，并否决其投标。</w:t>
            </w:r>
          </w:p>
          <w:p w14:paraId="7C23C5ED">
            <w:pPr>
              <w:spacing w:line="300" w:lineRule="exact"/>
              <w:ind w:firstLine="420" w:firstLineChars="200"/>
              <w:rPr>
                <w:rFonts w:ascii="宋体" w:hAnsi="宋体"/>
                <w:color w:val="auto"/>
                <w:szCs w:val="21"/>
                <w:highlight w:val="none"/>
              </w:rPr>
            </w:pPr>
            <w:r>
              <w:rPr>
                <w:rFonts w:hint="eastAsia" w:ascii="宋体" w:hAnsi="宋体"/>
                <w:color w:val="auto"/>
                <w:szCs w:val="21"/>
                <w:highlight w:val="none"/>
              </w:rPr>
              <w:t>成本价评估值=最高投标限价×0.85</w:t>
            </w:r>
          </w:p>
        </w:tc>
      </w:tr>
    </w:tbl>
    <w:p w14:paraId="727D63A3">
      <w:pPr>
        <w:pStyle w:val="2"/>
        <w:rPr>
          <w:rFonts w:hint="eastAsia"/>
          <w:color w:val="auto"/>
          <w:highlight w:val="none"/>
          <w:lang w:eastAsia="zh-CN"/>
        </w:rPr>
      </w:pPr>
    </w:p>
    <w:p w14:paraId="5E99ED21">
      <w:pPr>
        <w:rPr>
          <w:rFonts w:hint="eastAsia" w:ascii="宋体" w:hAnsi="宋体" w:cs="宋体"/>
          <w:color w:val="auto"/>
          <w:szCs w:val="21"/>
          <w:highlight w:val="none"/>
        </w:rPr>
      </w:pPr>
      <w:r>
        <w:rPr>
          <w:rFonts w:hint="eastAsia" w:ascii="宋体" w:hAnsi="宋体" w:cs="宋体"/>
          <w:color w:val="auto"/>
          <w:szCs w:val="21"/>
          <w:highlight w:val="none"/>
        </w:rPr>
        <w:br w:type="page"/>
      </w:r>
    </w:p>
    <w:p w14:paraId="03C418D5">
      <w:pPr>
        <w:pStyle w:val="4"/>
        <w:rPr>
          <w:rFonts w:hint="eastAsia" w:eastAsia="宋体"/>
          <w:color w:val="auto"/>
          <w:highlight w:val="none"/>
          <w:lang w:eastAsia="zh-CN"/>
        </w:rPr>
      </w:pPr>
      <w:r>
        <w:rPr>
          <w:rFonts w:hint="eastAsia" w:ascii="宋体" w:hAnsi="宋体" w:cs="宋体"/>
          <w:color w:val="auto"/>
          <w:szCs w:val="21"/>
          <w:highlight w:val="none"/>
          <w:lang w:eastAsia="zh-CN"/>
        </w:rPr>
        <w:t>评标办法</w:t>
      </w:r>
    </w:p>
    <w:p w14:paraId="54D7EC8A">
      <w:pPr>
        <w:jc w:val="center"/>
        <w:rPr>
          <w:rFonts w:ascii="宋体" w:hAnsi="宋体"/>
          <w:b/>
          <w:color w:val="auto"/>
          <w:sz w:val="30"/>
          <w:szCs w:val="30"/>
          <w:highlight w:val="none"/>
        </w:rPr>
      </w:pPr>
      <w:r>
        <w:rPr>
          <w:rFonts w:hint="eastAsia" w:ascii="宋体" w:hAnsi="宋体"/>
          <w:b/>
          <w:color w:val="auto"/>
          <w:sz w:val="30"/>
          <w:szCs w:val="30"/>
          <w:highlight w:val="none"/>
        </w:rPr>
        <w:t>第一个信封评分标准</w:t>
      </w:r>
    </w:p>
    <w:tbl>
      <w:tblPr>
        <w:tblStyle w:val="9"/>
        <w:tblW w:w="9743"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656"/>
        <w:gridCol w:w="489"/>
        <w:gridCol w:w="491"/>
        <w:gridCol w:w="1000"/>
        <w:gridCol w:w="1532"/>
        <w:gridCol w:w="703"/>
        <w:gridCol w:w="4872"/>
      </w:tblGrid>
      <w:tr w14:paraId="6358912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6" w:type="dxa"/>
            <w:vMerge w:val="restart"/>
            <w:tcBorders>
              <w:right w:val="single" w:color="auto" w:sz="4" w:space="0"/>
            </w:tcBorders>
            <w:noWrap w:val="0"/>
            <w:vAlign w:val="center"/>
          </w:tcPr>
          <w:p w14:paraId="18CBCB4E">
            <w:pPr>
              <w:spacing w:line="0" w:lineRule="atLeast"/>
              <w:jc w:val="center"/>
              <w:rPr>
                <w:rFonts w:ascii="宋体" w:hAnsi="宋体"/>
                <w:color w:val="auto"/>
                <w:sz w:val="18"/>
                <w:szCs w:val="18"/>
                <w:highlight w:val="none"/>
              </w:rPr>
            </w:pPr>
            <w:r>
              <w:rPr>
                <w:rFonts w:hint="eastAsia" w:ascii="宋体" w:hAnsi="宋体"/>
                <w:color w:val="auto"/>
                <w:sz w:val="18"/>
                <w:szCs w:val="18"/>
                <w:highlight w:val="none"/>
              </w:rPr>
              <w:t>条</w:t>
            </w:r>
          </w:p>
          <w:p w14:paraId="77AE5DAD">
            <w:pPr>
              <w:spacing w:line="0" w:lineRule="atLeast"/>
              <w:jc w:val="center"/>
              <w:rPr>
                <w:rFonts w:ascii="宋体" w:hAnsi="宋体"/>
                <w:color w:val="auto"/>
                <w:sz w:val="18"/>
                <w:szCs w:val="18"/>
                <w:highlight w:val="none"/>
              </w:rPr>
            </w:pPr>
            <w:r>
              <w:rPr>
                <w:rFonts w:hint="eastAsia" w:ascii="宋体" w:hAnsi="宋体"/>
                <w:color w:val="auto"/>
                <w:sz w:val="18"/>
                <w:szCs w:val="18"/>
                <w:highlight w:val="none"/>
              </w:rPr>
              <w:t>款</w:t>
            </w:r>
          </w:p>
          <w:p w14:paraId="761F42CE">
            <w:pPr>
              <w:spacing w:line="0" w:lineRule="atLeast"/>
              <w:jc w:val="center"/>
              <w:rPr>
                <w:rFonts w:ascii="宋体" w:hAnsi="宋体"/>
                <w:color w:val="auto"/>
                <w:sz w:val="18"/>
                <w:szCs w:val="18"/>
                <w:highlight w:val="none"/>
              </w:rPr>
            </w:pPr>
            <w:r>
              <w:rPr>
                <w:rFonts w:hint="eastAsia" w:ascii="宋体" w:hAnsi="宋体"/>
                <w:color w:val="auto"/>
                <w:sz w:val="18"/>
                <w:szCs w:val="18"/>
                <w:highlight w:val="none"/>
              </w:rPr>
              <w:t>号</w:t>
            </w:r>
          </w:p>
        </w:tc>
        <w:tc>
          <w:tcPr>
            <w:tcW w:w="4215" w:type="dxa"/>
            <w:gridSpan w:val="5"/>
            <w:tcBorders>
              <w:left w:val="single" w:color="auto" w:sz="4" w:space="0"/>
              <w:right w:val="single" w:color="auto" w:sz="4" w:space="0"/>
            </w:tcBorders>
            <w:noWrap w:val="0"/>
            <w:vAlign w:val="center"/>
          </w:tcPr>
          <w:p w14:paraId="30E8C25E">
            <w:pPr>
              <w:spacing w:line="0" w:lineRule="atLeast"/>
              <w:jc w:val="center"/>
              <w:rPr>
                <w:rFonts w:ascii="宋体" w:hAnsi="宋体"/>
                <w:color w:val="auto"/>
                <w:sz w:val="18"/>
                <w:szCs w:val="18"/>
                <w:highlight w:val="none"/>
              </w:rPr>
            </w:pPr>
            <w:r>
              <w:rPr>
                <w:rFonts w:hint="eastAsia" w:ascii="宋体" w:hAnsi="宋体"/>
                <w:color w:val="auto"/>
                <w:sz w:val="18"/>
                <w:szCs w:val="18"/>
                <w:highlight w:val="none"/>
              </w:rPr>
              <w:t>评分因素与权重分值</w:t>
            </w:r>
          </w:p>
        </w:tc>
        <w:tc>
          <w:tcPr>
            <w:tcW w:w="4872" w:type="dxa"/>
            <w:vMerge w:val="restart"/>
            <w:noWrap w:val="0"/>
            <w:vAlign w:val="center"/>
          </w:tcPr>
          <w:p w14:paraId="37F9AF27">
            <w:pPr>
              <w:spacing w:line="0" w:lineRule="atLeast"/>
              <w:jc w:val="center"/>
              <w:rPr>
                <w:rFonts w:ascii="宋体" w:hAnsi="宋体"/>
                <w:color w:val="auto"/>
                <w:sz w:val="18"/>
                <w:szCs w:val="18"/>
                <w:highlight w:val="none"/>
              </w:rPr>
            </w:pPr>
            <w:r>
              <w:rPr>
                <w:rFonts w:hint="eastAsia" w:ascii="宋体" w:hAnsi="宋体"/>
                <w:color w:val="auto"/>
                <w:sz w:val="18"/>
                <w:szCs w:val="18"/>
                <w:highlight w:val="none"/>
              </w:rPr>
              <w:t>评分标准</w:t>
            </w:r>
          </w:p>
        </w:tc>
      </w:tr>
      <w:tr w14:paraId="705E00F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05" w:hRule="atLeast"/>
          <w:jc w:val="center"/>
        </w:trPr>
        <w:tc>
          <w:tcPr>
            <w:tcW w:w="656" w:type="dxa"/>
            <w:vMerge w:val="continue"/>
            <w:tcBorders>
              <w:right w:val="single" w:color="auto" w:sz="4" w:space="0"/>
            </w:tcBorders>
            <w:noWrap w:val="0"/>
            <w:vAlign w:val="center"/>
          </w:tcPr>
          <w:p w14:paraId="013DBE07">
            <w:pPr>
              <w:spacing w:line="0" w:lineRule="atLeast"/>
              <w:jc w:val="center"/>
              <w:rPr>
                <w:rFonts w:ascii="宋体" w:hAnsi="宋体"/>
                <w:color w:val="auto"/>
                <w:sz w:val="18"/>
                <w:szCs w:val="18"/>
                <w:highlight w:val="none"/>
              </w:rPr>
            </w:pPr>
          </w:p>
        </w:tc>
        <w:tc>
          <w:tcPr>
            <w:tcW w:w="980" w:type="dxa"/>
            <w:gridSpan w:val="2"/>
            <w:tcBorders>
              <w:left w:val="single" w:color="auto" w:sz="4" w:space="0"/>
            </w:tcBorders>
            <w:noWrap w:val="0"/>
            <w:vAlign w:val="center"/>
          </w:tcPr>
          <w:p w14:paraId="04414DE4">
            <w:pPr>
              <w:spacing w:line="0" w:lineRule="atLeast"/>
              <w:jc w:val="center"/>
              <w:rPr>
                <w:rFonts w:ascii="宋体" w:hAnsi="宋体"/>
                <w:color w:val="auto"/>
                <w:sz w:val="18"/>
                <w:szCs w:val="18"/>
                <w:highlight w:val="none"/>
              </w:rPr>
            </w:pPr>
            <w:r>
              <w:rPr>
                <w:rFonts w:hint="eastAsia" w:ascii="宋体" w:hAnsi="宋体"/>
                <w:color w:val="auto"/>
                <w:sz w:val="18"/>
                <w:szCs w:val="18"/>
                <w:highlight w:val="none"/>
              </w:rPr>
              <w:t>评分因素</w:t>
            </w:r>
          </w:p>
        </w:tc>
        <w:tc>
          <w:tcPr>
            <w:tcW w:w="1000" w:type="dxa"/>
            <w:noWrap w:val="0"/>
            <w:vAlign w:val="center"/>
          </w:tcPr>
          <w:p w14:paraId="461BA0A7">
            <w:pPr>
              <w:spacing w:line="0" w:lineRule="atLeast"/>
              <w:jc w:val="center"/>
              <w:rPr>
                <w:rFonts w:ascii="宋体" w:hAnsi="宋体"/>
                <w:color w:val="auto"/>
                <w:sz w:val="18"/>
                <w:szCs w:val="18"/>
                <w:highlight w:val="none"/>
              </w:rPr>
            </w:pPr>
            <w:r>
              <w:rPr>
                <w:rFonts w:hint="eastAsia" w:ascii="宋体" w:hAnsi="宋体"/>
                <w:color w:val="auto"/>
                <w:sz w:val="18"/>
                <w:szCs w:val="18"/>
                <w:highlight w:val="none"/>
              </w:rPr>
              <w:t>评分因素权重分值</w:t>
            </w:r>
          </w:p>
        </w:tc>
        <w:tc>
          <w:tcPr>
            <w:tcW w:w="1532" w:type="dxa"/>
            <w:noWrap w:val="0"/>
            <w:vAlign w:val="center"/>
          </w:tcPr>
          <w:p w14:paraId="1C2CF594">
            <w:pPr>
              <w:spacing w:line="0" w:lineRule="atLeast"/>
              <w:jc w:val="center"/>
              <w:rPr>
                <w:rFonts w:ascii="宋体" w:hAnsi="宋体"/>
                <w:color w:val="auto"/>
                <w:sz w:val="18"/>
                <w:szCs w:val="18"/>
                <w:highlight w:val="none"/>
              </w:rPr>
            </w:pPr>
            <w:r>
              <w:rPr>
                <w:rFonts w:hint="eastAsia" w:ascii="宋体" w:hAnsi="宋体"/>
                <w:color w:val="auto"/>
                <w:sz w:val="18"/>
                <w:szCs w:val="18"/>
                <w:highlight w:val="none"/>
              </w:rPr>
              <w:t>各评分因素</w:t>
            </w:r>
          </w:p>
          <w:p w14:paraId="28669F99">
            <w:pPr>
              <w:spacing w:line="0" w:lineRule="atLeast"/>
              <w:jc w:val="center"/>
              <w:rPr>
                <w:rFonts w:ascii="宋体" w:hAnsi="宋体"/>
                <w:color w:val="auto"/>
                <w:sz w:val="18"/>
                <w:szCs w:val="18"/>
                <w:highlight w:val="none"/>
              </w:rPr>
            </w:pPr>
            <w:r>
              <w:rPr>
                <w:rFonts w:hint="eastAsia" w:ascii="宋体" w:hAnsi="宋体"/>
                <w:color w:val="auto"/>
                <w:sz w:val="18"/>
                <w:szCs w:val="18"/>
                <w:highlight w:val="none"/>
              </w:rPr>
              <w:t>细分项</w:t>
            </w:r>
          </w:p>
        </w:tc>
        <w:tc>
          <w:tcPr>
            <w:tcW w:w="703" w:type="dxa"/>
            <w:tcBorders>
              <w:right w:val="single" w:color="auto" w:sz="4" w:space="0"/>
            </w:tcBorders>
            <w:noWrap w:val="0"/>
            <w:vAlign w:val="center"/>
          </w:tcPr>
          <w:p w14:paraId="1975720B">
            <w:pPr>
              <w:spacing w:line="0" w:lineRule="atLeast"/>
              <w:jc w:val="center"/>
              <w:rPr>
                <w:rFonts w:ascii="宋体" w:hAnsi="宋体"/>
                <w:color w:val="auto"/>
                <w:sz w:val="18"/>
                <w:szCs w:val="18"/>
                <w:highlight w:val="none"/>
              </w:rPr>
            </w:pPr>
            <w:r>
              <w:rPr>
                <w:rFonts w:hint="eastAsia" w:ascii="宋体" w:hAnsi="宋体"/>
                <w:color w:val="auto"/>
                <w:sz w:val="18"/>
                <w:szCs w:val="18"/>
                <w:highlight w:val="none"/>
              </w:rPr>
              <w:t>分值</w:t>
            </w:r>
          </w:p>
        </w:tc>
        <w:tc>
          <w:tcPr>
            <w:tcW w:w="4872" w:type="dxa"/>
            <w:vMerge w:val="continue"/>
            <w:noWrap w:val="0"/>
            <w:vAlign w:val="center"/>
          </w:tcPr>
          <w:p w14:paraId="3744ACD7">
            <w:pPr>
              <w:spacing w:line="0" w:lineRule="atLeast"/>
              <w:jc w:val="center"/>
              <w:rPr>
                <w:rFonts w:ascii="宋体" w:hAnsi="宋体"/>
                <w:color w:val="auto"/>
                <w:sz w:val="18"/>
                <w:szCs w:val="18"/>
                <w:highlight w:val="none"/>
              </w:rPr>
            </w:pPr>
          </w:p>
        </w:tc>
      </w:tr>
      <w:tr w14:paraId="4CDD468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177" w:hRule="atLeast"/>
          <w:jc w:val="center"/>
        </w:trPr>
        <w:tc>
          <w:tcPr>
            <w:tcW w:w="656" w:type="dxa"/>
            <w:vMerge w:val="restart"/>
            <w:tcBorders>
              <w:right w:val="single" w:color="auto" w:sz="4" w:space="0"/>
            </w:tcBorders>
            <w:noWrap w:val="0"/>
            <w:vAlign w:val="center"/>
          </w:tcPr>
          <w:p w14:paraId="1B385E09">
            <w:pPr>
              <w:jc w:val="center"/>
              <w:rPr>
                <w:rFonts w:ascii="宋体" w:hAnsi="宋体"/>
                <w:color w:val="auto"/>
                <w:sz w:val="18"/>
                <w:szCs w:val="18"/>
                <w:highlight w:val="none"/>
              </w:rPr>
            </w:pPr>
            <w:r>
              <w:rPr>
                <w:rFonts w:hint="eastAsia" w:ascii="宋体" w:hAnsi="宋体"/>
                <w:color w:val="auto"/>
                <w:sz w:val="18"/>
                <w:szCs w:val="18"/>
                <w:highlight w:val="none"/>
              </w:rPr>
              <w:t>2.2.2（1）</w:t>
            </w:r>
          </w:p>
        </w:tc>
        <w:tc>
          <w:tcPr>
            <w:tcW w:w="980" w:type="dxa"/>
            <w:gridSpan w:val="2"/>
            <w:vMerge w:val="restart"/>
            <w:tcBorders>
              <w:left w:val="single" w:color="auto" w:sz="4" w:space="0"/>
            </w:tcBorders>
            <w:noWrap w:val="0"/>
            <w:vAlign w:val="center"/>
          </w:tcPr>
          <w:p w14:paraId="220F991B">
            <w:pPr>
              <w:jc w:val="center"/>
              <w:rPr>
                <w:rFonts w:ascii="宋体" w:hAnsi="宋体"/>
                <w:color w:val="auto"/>
                <w:sz w:val="18"/>
                <w:szCs w:val="18"/>
                <w:highlight w:val="none"/>
              </w:rPr>
            </w:pPr>
            <w:r>
              <w:rPr>
                <w:rFonts w:hint="eastAsia" w:ascii="宋体" w:hAnsi="宋体"/>
                <w:color w:val="auto"/>
                <w:sz w:val="18"/>
                <w:szCs w:val="18"/>
                <w:highlight w:val="none"/>
              </w:rPr>
              <w:t>施工组织设计</w:t>
            </w:r>
          </w:p>
        </w:tc>
        <w:tc>
          <w:tcPr>
            <w:tcW w:w="1000" w:type="dxa"/>
            <w:vMerge w:val="restart"/>
            <w:noWrap w:val="0"/>
            <w:vAlign w:val="center"/>
          </w:tcPr>
          <w:p w14:paraId="3E719E72">
            <w:pPr>
              <w:jc w:val="center"/>
              <w:rPr>
                <w:rFonts w:ascii="宋体" w:hAnsi="宋体"/>
                <w:color w:val="auto"/>
                <w:sz w:val="18"/>
                <w:szCs w:val="18"/>
                <w:highlight w:val="none"/>
              </w:rPr>
            </w:pPr>
            <w:r>
              <w:rPr>
                <w:rFonts w:hint="eastAsia" w:ascii="宋体" w:hAnsi="宋体"/>
                <w:color w:val="auto"/>
                <w:sz w:val="18"/>
                <w:szCs w:val="18"/>
                <w:highlight w:val="none"/>
              </w:rPr>
              <w:t>40分</w:t>
            </w:r>
          </w:p>
        </w:tc>
        <w:tc>
          <w:tcPr>
            <w:tcW w:w="1532" w:type="dxa"/>
            <w:noWrap w:val="0"/>
            <w:vAlign w:val="center"/>
          </w:tcPr>
          <w:p w14:paraId="0D456E5A">
            <w:pPr>
              <w:spacing w:line="0" w:lineRule="atLeast"/>
              <w:jc w:val="center"/>
              <w:rPr>
                <w:rFonts w:ascii="宋体" w:hAnsi="宋体"/>
                <w:color w:val="auto"/>
                <w:sz w:val="18"/>
                <w:szCs w:val="18"/>
                <w:highlight w:val="none"/>
              </w:rPr>
            </w:pPr>
            <w:r>
              <w:rPr>
                <w:rFonts w:hint="eastAsia" w:ascii="宋体" w:hAnsi="宋体"/>
                <w:color w:val="auto"/>
                <w:sz w:val="18"/>
                <w:szCs w:val="18"/>
                <w:highlight w:val="none"/>
              </w:rPr>
              <w:t>施工总体计划</w:t>
            </w:r>
          </w:p>
        </w:tc>
        <w:tc>
          <w:tcPr>
            <w:tcW w:w="703" w:type="dxa"/>
            <w:tcBorders>
              <w:right w:val="single" w:color="auto" w:sz="4" w:space="0"/>
            </w:tcBorders>
            <w:noWrap w:val="0"/>
            <w:vAlign w:val="center"/>
          </w:tcPr>
          <w:p w14:paraId="73BDD32E">
            <w:pPr>
              <w:jc w:val="center"/>
              <w:rPr>
                <w:rFonts w:ascii="宋体" w:hAnsi="宋体"/>
                <w:color w:val="auto"/>
                <w:sz w:val="18"/>
                <w:szCs w:val="18"/>
                <w:highlight w:val="none"/>
              </w:rPr>
            </w:pPr>
            <w:r>
              <w:rPr>
                <w:rFonts w:hint="eastAsia" w:ascii="宋体" w:hAnsi="宋体"/>
                <w:color w:val="auto"/>
                <w:sz w:val="18"/>
                <w:szCs w:val="18"/>
                <w:highlight w:val="none"/>
              </w:rPr>
              <w:t>8</w:t>
            </w:r>
          </w:p>
        </w:tc>
        <w:tc>
          <w:tcPr>
            <w:tcW w:w="4872" w:type="dxa"/>
            <w:noWrap w:val="0"/>
            <w:vAlign w:val="center"/>
          </w:tcPr>
          <w:p w14:paraId="2161BEA0">
            <w:pPr>
              <w:spacing w:line="240" w:lineRule="exact"/>
              <w:rPr>
                <w:rFonts w:ascii="宋体" w:hAnsi="宋体"/>
                <w:color w:val="auto"/>
                <w:sz w:val="18"/>
                <w:szCs w:val="18"/>
                <w:highlight w:val="none"/>
              </w:rPr>
            </w:pPr>
            <w:r>
              <w:rPr>
                <w:rFonts w:ascii="宋体" w:hAnsi="宋体"/>
                <w:color w:val="auto"/>
                <w:sz w:val="18"/>
                <w:szCs w:val="18"/>
                <w:highlight w:val="none"/>
              </w:rPr>
              <w:fldChar w:fldCharType="begin"/>
            </w:r>
            <w:r>
              <w:rPr>
                <w:rFonts w:ascii="宋体" w:hAnsi="宋体"/>
                <w:color w:val="auto"/>
                <w:sz w:val="18"/>
                <w:szCs w:val="18"/>
                <w:highlight w:val="none"/>
              </w:rPr>
              <w:instrText xml:space="preserve"> </w:instrText>
            </w:r>
            <w:r>
              <w:rPr>
                <w:rFonts w:hint="eastAsia" w:ascii="宋体" w:hAnsi="宋体"/>
                <w:color w:val="auto"/>
                <w:sz w:val="18"/>
                <w:szCs w:val="18"/>
                <w:highlight w:val="none"/>
              </w:rPr>
              <w:instrText xml:space="preserve">= 1 \* GB3</w:instrText>
            </w:r>
            <w:r>
              <w:rPr>
                <w:rFonts w:ascii="宋体" w:hAnsi="宋体"/>
                <w:color w:val="auto"/>
                <w:sz w:val="18"/>
                <w:szCs w:val="18"/>
                <w:highlight w:val="none"/>
              </w:rPr>
              <w:instrText xml:space="preserve"> </w:instrText>
            </w:r>
            <w:r>
              <w:rPr>
                <w:rFonts w:ascii="宋体" w:hAnsi="宋体"/>
                <w:color w:val="auto"/>
                <w:sz w:val="18"/>
                <w:szCs w:val="18"/>
                <w:highlight w:val="none"/>
              </w:rPr>
              <w:fldChar w:fldCharType="separate"/>
            </w:r>
            <w:r>
              <w:rPr>
                <w:rFonts w:hint="eastAsia" w:ascii="宋体" w:hAnsi="宋体"/>
                <w:color w:val="auto"/>
                <w:sz w:val="18"/>
                <w:szCs w:val="18"/>
                <w:highlight w:val="none"/>
              </w:rPr>
              <w:t>①</w:t>
            </w:r>
            <w:r>
              <w:rPr>
                <w:rFonts w:ascii="宋体" w:hAnsi="宋体"/>
                <w:color w:val="auto"/>
                <w:sz w:val="18"/>
                <w:szCs w:val="18"/>
                <w:highlight w:val="none"/>
              </w:rPr>
              <w:fldChar w:fldCharType="end"/>
            </w:r>
            <w:r>
              <w:rPr>
                <w:rFonts w:ascii="宋体" w:hAnsi="宋体"/>
                <w:color w:val="auto"/>
                <w:sz w:val="18"/>
                <w:szCs w:val="18"/>
                <w:highlight w:val="none"/>
              </w:rPr>
              <w:t>项目进度计划、质量目标、工期目标、安全目标详细程度、合理性、针对性</w:t>
            </w:r>
            <w:r>
              <w:rPr>
                <w:rFonts w:hint="eastAsia" w:ascii="宋体" w:hAnsi="宋体"/>
                <w:color w:val="auto"/>
                <w:sz w:val="18"/>
                <w:szCs w:val="18"/>
                <w:highlight w:val="none"/>
              </w:rPr>
              <w:t>一般</w:t>
            </w:r>
            <w:r>
              <w:rPr>
                <w:rFonts w:ascii="宋体" w:hAnsi="宋体"/>
                <w:color w:val="auto"/>
                <w:sz w:val="18"/>
                <w:szCs w:val="18"/>
                <w:highlight w:val="none"/>
              </w:rPr>
              <w:t>的，</w:t>
            </w:r>
            <w:r>
              <w:rPr>
                <w:rFonts w:hint="eastAsia" w:ascii="宋体" w:hAnsi="宋体"/>
                <w:color w:val="auto"/>
                <w:sz w:val="18"/>
                <w:szCs w:val="18"/>
                <w:highlight w:val="none"/>
              </w:rPr>
              <w:t>得4.8</w:t>
            </w:r>
            <w:r>
              <w:rPr>
                <w:rFonts w:ascii="宋体" w:hAnsi="宋体"/>
                <w:color w:val="auto"/>
                <w:sz w:val="18"/>
                <w:szCs w:val="18"/>
                <w:highlight w:val="none"/>
              </w:rPr>
              <w:t>分；</w:t>
            </w:r>
          </w:p>
          <w:p w14:paraId="43DE6AB6">
            <w:pPr>
              <w:spacing w:line="240" w:lineRule="exact"/>
              <w:rPr>
                <w:rFonts w:ascii="宋体" w:hAnsi="宋体"/>
                <w:color w:val="auto"/>
                <w:sz w:val="18"/>
                <w:szCs w:val="18"/>
                <w:highlight w:val="none"/>
              </w:rPr>
            </w:pPr>
            <w:r>
              <w:rPr>
                <w:rFonts w:ascii="宋体" w:hAnsi="宋体"/>
                <w:color w:val="auto"/>
                <w:sz w:val="18"/>
                <w:szCs w:val="18"/>
                <w:highlight w:val="none"/>
              </w:rPr>
              <w:fldChar w:fldCharType="begin"/>
            </w:r>
            <w:r>
              <w:rPr>
                <w:rFonts w:ascii="宋体" w:hAnsi="宋体"/>
                <w:color w:val="auto"/>
                <w:sz w:val="18"/>
                <w:szCs w:val="18"/>
                <w:highlight w:val="none"/>
              </w:rPr>
              <w:instrText xml:space="preserve"> </w:instrText>
            </w:r>
            <w:r>
              <w:rPr>
                <w:rFonts w:hint="eastAsia" w:ascii="宋体" w:hAnsi="宋体"/>
                <w:color w:val="auto"/>
                <w:sz w:val="18"/>
                <w:szCs w:val="18"/>
                <w:highlight w:val="none"/>
              </w:rPr>
              <w:instrText xml:space="preserve">= 2 \* GB3</w:instrText>
            </w:r>
            <w:r>
              <w:rPr>
                <w:rFonts w:ascii="宋体" w:hAnsi="宋体"/>
                <w:color w:val="auto"/>
                <w:sz w:val="18"/>
                <w:szCs w:val="18"/>
                <w:highlight w:val="none"/>
              </w:rPr>
              <w:instrText xml:space="preserve"> </w:instrText>
            </w:r>
            <w:r>
              <w:rPr>
                <w:rFonts w:ascii="宋体" w:hAnsi="宋体"/>
                <w:color w:val="auto"/>
                <w:sz w:val="18"/>
                <w:szCs w:val="18"/>
                <w:highlight w:val="none"/>
              </w:rPr>
              <w:fldChar w:fldCharType="separate"/>
            </w:r>
            <w:r>
              <w:rPr>
                <w:rFonts w:hint="eastAsia" w:ascii="宋体" w:hAnsi="宋体"/>
                <w:color w:val="auto"/>
                <w:sz w:val="18"/>
                <w:szCs w:val="18"/>
                <w:highlight w:val="none"/>
              </w:rPr>
              <w:t>②</w:t>
            </w:r>
            <w:r>
              <w:rPr>
                <w:rFonts w:ascii="宋体" w:hAnsi="宋体"/>
                <w:color w:val="auto"/>
                <w:sz w:val="18"/>
                <w:szCs w:val="18"/>
                <w:highlight w:val="none"/>
              </w:rPr>
              <w:fldChar w:fldCharType="end"/>
            </w:r>
            <w:r>
              <w:rPr>
                <w:rFonts w:ascii="宋体" w:hAnsi="宋体"/>
                <w:color w:val="auto"/>
                <w:sz w:val="18"/>
                <w:szCs w:val="18"/>
                <w:highlight w:val="none"/>
              </w:rPr>
              <w:t>项目进度计划、质量目标、工期目标、安全目标详细程度、合理性、针对性较好的，</w:t>
            </w:r>
            <w:r>
              <w:rPr>
                <w:rFonts w:hint="eastAsia" w:ascii="宋体" w:hAnsi="宋体"/>
                <w:color w:val="auto"/>
                <w:sz w:val="18"/>
                <w:szCs w:val="18"/>
                <w:highlight w:val="none"/>
              </w:rPr>
              <w:t>得4.8</w:t>
            </w:r>
            <w:r>
              <w:rPr>
                <w:rFonts w:hint="eastAsia" w:ascii="宋体" w:hAnsi="宋体"/>
                <w:color w:val="auto"/>
                <w:highlight w:val="none"/>
              </w:rPr>
              <w:t>～</w:t>
            </w:r>
            <w:r>
              <w:rPr>
                <w:rFonts w:hint="eastAsia" w:ascii="宋体" w:hAnsi="宋体"/>
                <w:color w:val="auto"/>
                <w:sz w:val="18"/>
                <w:szCs w:val="18"/>
                <w:highlight w:val="none"/>
              </w:rPr>
              <w:t>6.4</w:t>
            </w:r>
            <w:r>
              <w:rPr>
                <w:rFonts w:ascii="宋体" w:hAnsi="宋体"/>
                <w:color w:val="auto"/>
                <w:sz w:val="18"/>
                <w:szCs w:val="18"/>
                <w:highlight w:val="none"/>
              </w:rPr>
              <w:t>分；</w:t>
            </w:r>
          </w:p>
          <w:p w14:paraId="6C4BFAA5">
            <w:pPr>
              <w:spacing w:line="240" w:lineRule="exact"/>
              <w:rPr>
                <w:rFonts w:ascii="宋体" w:hAnsi="宋体"/>
                <w:color w:val="auto"/>
                <w:sz w:val="18"/>
                <w:szCs w:val="18"/>
                <w:highlight w:val="none"/>
              </w:rPr>
            </w:pPr>
            <w:r>
              <w:rPr>
                <w:rFonts w:ascii="宋体" w:hAnsi="宋体"/>
                <w:color w:val="auto"/>
                <w:sz w:val="18"/>
                <w:szCs w:val="18"/>
                <w:highlight w:val="none"/>
              </w:rPr>
              <w:fldChar w:fldCharType="begin"/>
            </w:r>
            <w:r>
              <w:rPr>
                <w:rFonts w:ascii="宋体" w:hAnsi="宋体"/>
                <w:color w:val="auto"/>
                <w:sz w:val="18"/>
                <w:szCs w:val="18"/>
                <w:highlight w:val="none"/>
              </w:rPr>
              <w:instrText xml:space="preserve"> </w:instrText>
            </w:r>
            <w:r>
              <w:rPr>
                <w:rFonts w:hint="eastAsia" w:ascii="宋体" w:hAnsi="宋体"/>
                <w:color w:val="auto"/>
                <w:sz w:val="18"/>
                <w:szCs w:val="18"/>
                <w:highlight w:val="none"/>
              </w:rPr>
              <w:instrText xml:space="preserve">= 3 \* GB3</w:instrText>
            </w:r>
            <w:r>
              <w:rPr>
                <w:rFonts w:ascii="宋体" w:hAnsi="宋体"/>
                <w:color w:val="auto"/>
                <w:sz w:val="18"/>
                <w:szCs w:val="18"/>
                <w:highlight w:val="none"/>
              </w:rPr>
              <w:instrText xml:space="preserve"> </w:instrText>
            </w:r>
            <w:r>
              <w:rPr>
                <w:rFonts w:ascii="宋体" w:hAnsi="宋体"/>
                <w:color w:val="auto"/>
                <w:sz w:val="18"/>
                <w:szCs w:val="18"/>
                <w:highlight w:val="none"/>
              </w:rPr>
              <w:fldChar w:fldCharType="separate"/>
            </w:r>
            <w:r>
              <w:rPr>
                <w:rFonts w:hint="eastAsia" w:ascii="宋体" w:hAnsi="宋体"/>
                <w:color w:val="auto"/>
                <w:sz w:val="18"/>
                <w:szCs w:val="18"/>
                <w:highlight w:val="none"/>
              </w:rPr>
              <w:t>③</w:t>
            </w:r>
            <w:r>
              <w:rPr>
                <w:rFonts w:ascii="宋体" w:hAnsi="宋体"/>
                <w:color w:val="auto"/>
                <w:sz w:val="18"/>
                <w:szCs w:val="18"/>
                <w:highlight w:val="none"/>
              </w:rPr>
              <w:fldChar w:fldCharType="end"/>
            </w:r>
            <w:r>
              <w:rPr>
                <w:rFonts w:ascii="宋体" w:hAnsi="宋体"/>
                <w:color w:val="auto"/>
                <w:sz w:val="18"/>
                <w:szCs w:val="18"/>
                <w:highlight w:val="none"/>
              </w:rPr>
              <w:t>项目进度计划、质量目标、工期目标、安全目标详细程度、合理性、针对性好的，得</w:t>
            </w:r>
            <w:r>
              <w:rPr>
                <w:rFonts w:hint="eastAsia" w:ascii="宋体" w:hAnsi="宋体"/>
                <w:color w:val="auto"/>
                <w:sz w:val="18"/>
                <w:szCs w:val="18"/>
                <w:highlight w:val="none"/>
              </w:rPr>
              <w:t>6.4</w:t>
            </w:r>
            <w:r>
              <w:rPr>
                <w:rFonts w:hint="eastAsia" w:ascii="宋体" w:hAnsi="宋体"/>
                <w:color w:val="auto"/>
                <w:highlight w:val="none"/>
              </w:rPr>
              <w:t>～</w:t>
            </w:r>
            <w:r>
              <w:rPr>
                <w:rFonts w:hint="eastAsia" w:ascii="宋体" w:hAnsi="宋体"/>
                <w:color w:val="auto"/>
                <w:sz w:val="18"/>
                <w:szCs w:val="18"/>
                <w:highlight w:val="none"/>
              </w:rPr>
              <w:t>8</w:t>
            </w:r>
            <w:r>
              <w:rPr>
                <w:rFonts w:ascii="宋体" w:hAnsi="宋体"/>
                <w:color w:val="auto"/>
                <w:sz w:val="18"/>
                <w:szCs w:val="18"/>
                <w:highlight w:val="none"/>
              </w:rPr>
              <w:t>分。</w:t>
            </w:r>
          </w:p>
        </w:tc>
      </w:tr>
      <w:tr w14:paraId="7E151AC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123" w:hRule="atLeast"/>
          <w:jc w:val="center"/>
        </w:trPr>
        <w:tc>
          <w:tcPr>
            <w:tcW w:w="656" w:type="dxa"/>
            <w:vMerge w:val="continue"/>
            <w:tcBorders>
              <w:right w:val="single" w:color="auto" w:sz="4" w:space="0"/>
            </w:tcBorders>
            <w:noWrap w:val="0"/>
            <w:vAlign w:val="center"/>
          </w:tcPr>
          <w:p w14:paraId="31FB8702">
            <w:pPr>
              <w:jc w:val="center"/>
              <w:rPr>
                <w:rFonts w:ascii="宋体" w:hAnsi="宋体"/>
                <w:color w:val="auto"/>
                <w:sz w:val="18"/>
                <w:szCs w:val="18"/>
                <w:highlight w:val="none"/>
              </w:rPr>
            </w:pPr>
          </w:p>
        </w:tc>
        <w:tc>
          <w:tcPr>
            <w:tcW w:w="980" w:type="dxa"/>
            <w:gridSpan w:val="2"/>
            <w:vMerge w:val="continue"/>
            <w:tcBorders>
              <w:left w:val="single" w:color="auto" w:sz="4" w:space="0"/>
            </w:tcBorders>
            <w:noWrap w:val="0"/>
            <w:vAlign w:val="center"/>
          </w:tcPr>
          <w:p w14:paraId="0CD89985">
            <w:pPr>
              <w:jc w:val="center"/>
              <w:rPr>
                <w:rFonts w:ascii="宋体" w:hAnsi="宋体"/>
                <w:color w:val="auto"/>
                <w:sz w:val="18"/>
                <w:szCs w:val="18"/>
                <w:highlight w:val="none"/>
              </w:rPr>
            </w:pPr>
          </w:p>
        </w:tc>
        <w:tc>
          <w:tcPr>
            <w:tcW w:w="1000" w:type="dxa"/>
            <w:vMerge w:val="continue"/>
            <w:noWrap w:val="0"/>
            <w:vAlign w:val="center"/>
          </w:tcPr>
          <w:p w14:paraId="0365515D">
            <w:pPr>
              <w:jc w:val="center"/>
              <w:rPr>
                <w:rFonts w:ascii="宋体" w:hAnsi="宋体"/>
                <w:color w:val="auto"/>
                <w:sz w:val="18"/>
                <w:szCs w:val="18"/>
                <w:highlight w:val="none"/>
              </w:rPr>
            </w:pPr>
          </w:p>
        </w:tc>
        <w:tc>
          <w:tcPr>
            <w:tcW w:w="1532" w:type="dxa"/>
            <w:noWrap w:val="0"/>
            <w:vAlign w:val="center"/>
          </w:tcPr>
          <w:p w14:paraId="0674E5A1">
            <w:pPr>
              <w:spacing w:line="0" w:lineRule="atLeast"/>
              <w:jc w:val="center"/>
              <w:rPr>
                <w:rFonts w:ascii="宋体" w:hAnsi="宋体"/>
                <w:color w:val="auto"/>
                <w:w w:val="98"/>
                <w:highlight w:val="none"/>
              </w:rPr>
            </w:pPr>
            <w:r>
              <w:rPr>
                <w:rFonts w:hint="eastAsia" w:ascii="宋体" w:hAnsi="宋体"/>
                <w:color w:val="auto"/>
                <w:sz w:val="18"/>
                <w:szCs w:val="18"/>
                <w:highlight w:val="none"/>
              </w:rPr>
              <w:t>重点、关键和难点工程的施工方案、方法与技术措施</w:t>
            </w:r>
          </w:p>
        </w:tc>
        <w:tc>
          <w:tcPr>
            <w:tcW w:w="703" w:type="dxa"/>
            <w:tcBorders>
              <w:right w:val="single" w:color="auto" w:sz="4" w:space="0"/>
            </w:tcBorders>
            <w:noWrap w:val="0"/>
            <w:vAlign w:val="center"/>
          </w:tcPr>
          <w:p w14:paraId="01661B56">
            <w:pPr>
              <w:jc w:val="center"/>
              <w:rPr>
                <w:rFonts w:ascii="宋体" w:hAnsi="宋体"/>
                <w:color w:val="auto"/>
                <w:sz w:val="18"/>
                <w:szCs w:val="18"/>
                <w:highlight w:val="none"/>
              </w:rPr>
            </w:pPr>
            <w:r>
              <w:rPr>
                <w:rFonts w:hint="eastAsia" w:ascii="宋体" w:hAnsi="宋体"/>
                <w:color w:val="auto"/>
                <w:sz w:val="18"/>
                <w:szCs w:val="18"/>
                <w:highlight w:val="none"/>
              </w:rPr>
              <w:t>20</w:t>
            </w:r>
          </w:p>
        </w:tc>
        <w:tc>
          <w:tcPr>
            <w:tcW w:w="4872" w:type="dxa"/>
            <w:noWrap w:val="0"/>
            <w:vAlign w:val="center"/>
          </w:tcPr>
          <w:p w14:paraId="7294D279">
            <w:pPr>
              <w:spacing w:line="240" w:lineRule="exact"/>
              <w:rPr>
                <w:rFonts w:ascii="宋体" w:hAnsi="宋体"/>
                <w:color w:val="auto"/>
                <w:sz w:val="18"/>
                <w:szCs w:val="18"/>
                <w:highlight w:val="none"/>
              </w:rPr>
            </w:pPr>
            <w:r>
              <w:rPr>
                <w:rFonts w:ascii="宋体" w:hAnsi="宋体"/>
                <w:color w:val="auto"/>
                <w:sz w:val="18"/>
                <w:szCs w:val="18"/>
                <w:highlight w:val="none"/>
              </w:rPr>
              <w:fldChar w:fldCharType="begin"/>
            </w:r>
            <w:r>
              <w:rPr>
                <w:rFonts w:ascii="宋体" w:hAnsi="宋体"/>
                <w:color w:val="auto"/>
                <w:sz w:val="18"/>
                <w:szCs w:val="18"/>
                <w:highlight w:val="none"/>
              </w:rPr>
              <w:instrText xml:space="preserve"> </w:instrText>
            </w:r>
            <w:r>
              <w:rPr>
                <w:rFonts w:hint="eastAsia" w:ascii="宋体" w:hAnsi="宋体"/>
                <w:color w:val="auto"/>
                <w:sz w:val="18"/>
                <w:szCs w:val="18"/>
                <w:highlight w:val="none"/>
              </w:rPr>
              <w:instrText xml:space="preserve">= 1 \* GB3</w:instrText>
            </w:r>
            <w:r>
              <w:rPr>
                <w:rFonts w:ascii="宋体" w:hAnsi="宋体"/>
                <w:color w:val="auto"/>
                <w:sz w:val="18"/>
                <w:szCs w:val="18"/>
                <w:highlight w:val="none"/>
              </w:rPr>
              <w:instrText xml:space="preserve"> </w:instrText>
            </w:r>
            <w:r>
              <w:rPr>
                <w:rFonts w:ascii="宋体" w:hAnsi="宋体"/>
                <w:color w:val="auto"/>
                <w:sz w:val="18"/>
                <w:szCs w:val="18"/>
                <w:highlight w:val="none"/>
              </w:rPr>
              <w:fldChar w:fldCharType="separate"/>
            </w:r>
            <w:r>
              <w:rPr>
                <w:rFonts w:hint="eastAsia" w:ascii="宋体" w:hAnsi="宋体"/>
                <w:color w:val="auto"/>
                <w:sz w:val="18"/>
                <w:szCs w:val="18"/>
                <w:highlight w:val="none"/>
              </w:rPr>
              <w:t>①</w:t>
            </w:r>
            <w:r>
              <w:rPr>
                <w:rFonts w:ascii="宋体" w:hAnsi="宋体"/>
                <w:color w:val="auto"/>
                <w:sz w:val="18"/>
                <w:szCs w:val="18"/>
                <w:highlight w:val="none"/>
              </w:rPr>
              <w:fldChar w:fldCharType="end"/>
            </w:r>
            <w:r>
              <w:rPr>
                <w:rFonts w:hint="eastAsia" w:ascii="宋体" w:hAnsi="宋体"/>
                <w:color w:val="auto"/>
                <w:sz w:val="18"/>
                <w:szCs w:val="18"/>
                <w:highlight w:val="none"/>
              </w:rPr>
              <w:t>重点、关键和难点工程的施工方案、方法与技术措施一般</w:t>
            </w:r>
            <w:r>
              <w:rPr>
                <w:rFonts w:ascii="宋体" w:hAnsi="宋体"/>
                <w:color w:val="auto"/>
                <w:sz w:val="18"/>
                <w:szCs w:val="18"/>
                <w:highlight w:val="none"/>
              </w:rPr>
              <w:t>，得</w:t>
            </w:r>
            <w:r>
              <w:rPr>
                <w:rFonts w:hint="eastAsia" w:ascii="宋体" w:hAnsi="宋体"/>
                <w:color w:val="auto"/>
                <w:sz w:val="18"/>
                <w:szCs w:val="18"/>
                <w:highlight w:val="none"/>
              </w:rPr>
              <w:t>12</w:t>
            </w:r>
            <w:r>
              <w:rPr>
                <w:rFonts w:ascii="宋体" w:hAnsi="宋体"/>
                <w:color w:val="auto"/>
                <w:sz w:val="18"/>
                <w:szCs w:val="18"/>
                <w:highlight w:val="none"/>
              </w:rPr>
              <w:t>分；</w:t>
            </w:r>
          </w:p>
          <w:p w14:paraId="06DC4D6A">
            <w:pPr>
              <w:spacing w:line="240" w:lineRule="exact"/>
              <w:rPr>
                <w:rFonts w:ascii="宋体" w:hAnsi="宋体"/>
                <w:color w:val="auto"/>
                <w:sz w:val="18"/>
                <w:szCs w:val="18"/>
                <w:highlight w:val="none"/>
              </w:rPr>
            </w:pPr>
            <w:r>
              <w:rPr>
                <w:rFonts w:ascii="宋体" w:hAnsi="宋体"/>
                <w:color w:val="auto"/>
                <w:sz w:val="18"/>
                <w:szCs w:val="18"/>
                <w:highlight w:val="none"/>
              </w:rPr>
              <w:fldChar w:fldCharType="begin"/>
            </w:r>
            <w:r>
              <w:rPr>
                <w:rFonts w:ascii="宋体" w:hAnsi="宋体"/>
                <w:color w:val="auto"/>
                <w:sz w:val="18"/>
                <w:szCs w:val="18"/>
                <w:highlight w:val="none"/>
              </w:rPr>
              <w:instrText xml:space="preserve"> </w:instrText>
            </w:r>
            <w:r>
              <w:rPr>
                <w:rFonts w:hint="eastAsia" w:ascii="宋体" w:hAnsi="宋体"/>
                <w:color w:val="auto"/>
                <w:sz w:val="18"/>
                <w:szCs w:val="18"/>
                <w:highlight w:val="none"/>
              </w:rPr>
              <w:instrText xml:space="preserve">= 2 \* GB3</w:instrText>
            </w:r>
            <w:r>
              <w:rPr>
                <w:rFonts w:ascii="宋体" w:hAnsi="宋体"/>
                <w:color w:val="auto"/>
                <w:sz w:val="18"/>
                <w:szCs w:val="18"/>
                <w:highlight w:val="none"/>
              </w:rPr>
              <w:instrText xml:space="preserve"> </w:instrText>
            </w:r>
            <w:r>
              <w:rPr>
                <w:rFonts w:ascii="宋体" w:hAnsi="宋体"/>
                <w:color w:val="auto"/>
                <w:sz w:val="18"/>
                <w:szCs w:val="18"/>
                <w:highlight w:val="none"/>
              </w:rPr>
              <w:fldChar w:fldCharType="separate"/>
            </w:r>
            <w:r>
              <w:rPr>
                <w:rFonts w:hint="eastAsia" w:ascii="宋体" w:hAnsi="宋体"/>
                <w:color w:val="auto"/>
                <w:sz w:val="18"/>
                <w:szCs w:val="18"/>
                <w:highlight w:val="none"/>
              </w:rPr>
              <w:t>②</w:t>
            </w:r>
            <w:r>
              <w:rPr>
                <w:rFonts w:ascii="宋体" w:hAnsi="宋体"/>
                <w:color w:val="auto"/>
                <w:sz w:val="18"/>
                <w:szCs w:val="18"/>
                <w:highlight w:val="none"/>
              </w:rPr>
              <w:fldChar w:fldCharType="end"/>
            </w:r>
            <w:r>
              <w:rPr>
                <w:rFonts w:hint="eastAsia" w:ascii="宋体" w:hAnsi="宋体"/>
                <w:color w:val="auto"/>
                <w:sz w:val="18"/>
                <w:szCs w:val="18"/>
                <w:highlight w:val="none"/>
              </w:rPr>
              <w:t>重点、关键和难点工程的施工方案、方法与技术措施比较详细、比较合理，操作性较强</w:t>
            </w:r>
            <w:r>
              <w:rPr>
                <w:rFonts w:ascii="宋体" w:hAnsi="宋体"/>
                <w:color w:val="auto"/>
                <w:sz w:val="18"/>
                <w:szCs w:val="18"/>
                <w:highlight w:val="none"/>
              </w:rPr>
              <w:t>，得</w:t>
            </w:r>
            <w:r>
              <w:rPr>
                <w:rFonts w:hint="eastAsia" w:ascii="宋体" w:hAnsi="宋体"/>
                <w:color w:val="auto"/>
                <w:sz w:val="18"/>
                <w:szCs w:val="18"/>
                <w:highlight w:val="none"/>
              </w:rPr>
              <w:t>12</w:t>
            </w:r>
            <w:r>
              <w:rPr>
                <w:rFonts w:hint="eastAsia" w:ascii="宋体" w:hAnsi="宋体"/>
                <w:color w:val="auto"/>
                <w:highlight w:val="none"/>
              </w:rPr>
              <w:t>～</w:t>
            </w:r>
            <w:r>
              <w:rPr>
                <w:rFonts w:hint="eastAsia" w:ascii="宋体" w:hAnsi="宋体"/>
                <w:color w:val="auto"/>
                <w:sz w:val="18"/>
                <w:szCs w:val="18"/>
                <w:highlight w:val="none"/>
              </w:rPr>
              <w:t>16</w:t>
            </w:r>
            <w:r>
              <w:rPr>
                <w:rFonts w:ascii="宋体" w:hAnsi="宋体"/>
                <w:color w:val="auto"/>
                <w:sz w:val="18"/>
                <w:szCs w:val="18"/>
                <w:highlight w:val="none"/>
              </w:rPr>
              <w:t>分；</w:t>
            </w:r>
          </w:p>
          <w:p w14:paraId="3E80C5E2">
            <w:pPr>
              <w:spacing w:line="240" w:lineRule="exact"/>
              <w:rPr>
                <w:rFonts w:ascii="宋体" w:hAnsi="宋体"/>
                <w:color w:val="auto"/>
                <w:sz w:val="18"/>
                <w:szCs w:val="18"/>
                <w:highlight w:val="none"/>
              </w:rPr>
            </w:pPr>
            <w:r>
              <w:rPr>
                <w:rFonts w:ascii="宋体" w:hAnsi="宋体"/>
                <w:color w:val="auto"/>
                <w:sz w:val="18"/>
                <w:szCs w:val="18"/>
                <w:highlight w:val="none"/>
              </w:rPr>
              <w:fldChar w:fldCharType="begin"/>
            </w:r>
            <w:r>
              <w:rPr>
                <w:rFonts w:ascii="宋体" w:hAnsi="宋体"/>
                <w:color w:val="auto"/>
                <w:sz w:val="18"/>
                <w:szCs w:val="18"/>
                <w:highlight w:val="none"/>
              </w:rPr>
              <w:instrText xml:space="preserve"> </w:instrText>
            </w:r>
            <w:r>
              <w:rPr>
                <w:rFonts w:hint="eastAsia" w:ascii="宋体" w:hAnsi="宋体"/>
                <w:color w:val="auto"/>
                <w:sz w:val="18"/>
                <w:szCs w:val="18"/>
                <w:highlight w:val="none"/>
              </w:rPr>
              <w:instrText xml:space="preserve">= 3 \* GB3</w:instrText>
            </w:r>
            <w:r>
              <w:rPr>
                <w:rFonts w:ascii="宋体" w:hAnsi="宋体"/>
                <w:color w:val="auto"/>
                <w:sz w:val="18"/>
                <w:szCs w:val="18"/>
                <w:highlight w:val="none"/>
              </w:rPr>
              <w:instrText xml:space="preserve"> </w:instrText>
            </w:r>
            <w:r>
              <w:rPr>
                <w:rFonts w:ascii="宋体" w:hAnsi="宋体"/>
                <w:color w:val="auto"/>
                <w:sz w:val="18"/>
                <w:szCs w:val="18"/>
                <w:highlight w:val="none"/>
              </w:rPr>
              <w:fldChar w:fldCharType="separate"/>
            </w:r>
            <w:r>
              <w:rPr>
                <w:rFonts w:hint="eastAsia" w:ascii="宋体" w:hAnsi="宋体"/>
                <w:color w:val="auto"/>
                <w:sz w:val="18"/>
                <w:szCs w:val="18"/>
                <w:highlight w:val="none"/>
              </w:rPr>
              <w:t>③</w:t>
            </w:r>
            <w:r>
              <w:rPr>
                <w:rFonts w:ascii="宋体" w:hAnsi="宋体"/>
                <w:color w:val="auto"/>
                <w:sz w:val="18"/>
                <w:szCs w:val="18"/>
                <w:highlight w:val="none"/>
              </w:rPr>
              <w:fldChar w:fldCharType="end"/>
            </w:r>
            <w:r>
              <w:rPr>
                <w:rFonts w:hint="eastAsia" w:ascii="宋体" w:hAnsi="宋体"/>
                <w:color w:val="auto"/>
                <w:sz w:val="18"/>
                <w:szCs w:val="18"/>
                <w:highlight w:val="none"/>
              </w:rPr>
              <w:t>重点、关键和难点工程的施工方案、方法与技术措施详细、合理，操作性强</w:t>
            </w:r>
            <w:r>
              <w:rPr>
                <w:rFonts w:ascii="宋体" w:hAnsi="宋体"/>
                <w:color w:val="auto"/>
                <w:sz w:val="18"/>
                <w:szCs w:val="18"/>
                <w:highlight w:val="none"/>
              </w:rPr>
              <w:t>，得</w:t>
            </w:r>
            <w:r>
              <w:rPr>
                <w:rFonts w:hint="eastAsia" w:ascii="宋体" w:hAnsi="宋体"/>
                <w:color w:val="auto"/>
                <w:sz w:val="18"/>
                <w:szCs w:val="18"/>
                <w:highlight w:val="none"/>
              </w:rPr>
              <w:t>16</w:t>
            </w:r>
            <w:r>
              <w:rPr>
                <w:rFonts w:hint="eastAsia" w:ascii="宋体" w:hAnsi="宋体"/>
                <w:color w:val="auto"/>
                <w:highlight w:val="none"/>
              </w:rPr>
              <w:t>～</w:t>
            </w:r>
            <w:r>
              <w:rPr>
                <w:rFonts w:hint="eastAsia" w:ascii="宋体" w:hAnsi="宋体"/>
                <w:color w:val="auto"/>
                <w:sz w:val="18"/>
                <w:szCs w:val="18"/>
                <w:highlight w:val="none"/>
              </w:rPr>
              <w:t>20</w:t>
            </w:r>
            <w:r>
              <w:rPr>
                <w:rFonts w:ascii="宋体" w:hAnsi="宋体"/>
                <w:color w:val="auto"/>
                <w:sz w:val="18"/>
                <w:szCs w:val="18"/>
                <w:highlight w:val="none"/>
              </w:rPr>
              <w:t>分。</w:t>
            </w:r>
          </w:p>
        </w:tc>
      </w:tr>
      <w:tr w14:paraId="1A1AAE5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125" w:hRule="atLeast"/>
          <w:jc w:val="center"/>
        </w:trPr>
        <w:tc>
          <w:tcPr>
            <w:tcW w:w="656" w:type="dxa"/>
            <w:vMerge w:val="continue"/>
            <w:tcBorders>
              <w:right w:val="single" w:color="auto" w:sz="4" w:space="0"/>
            </w:tcBorders>
            <w:noWrap w:val="0"/>
            <w:vAlign w:val="center"/>
          </w:tcPr>
          <w:p w14:paraId="4BAACCF7">
            <w:pPr>
              <w:jc w:val="center"/>
              <w:rPr>
                <w:rFonts w:ascii="宋体" w:hAnsi="宋体"/>
                <w:color w:val="auto"/>
                <w:sz w:val="18"/>
                <w:szCs w:val="18"/>
                <w:highlight w:val="none"/>
              </w:rPr>
            </w:pPr>
          </w:p>
        </w:tc>
        <w:tc>
          <w:tcPr>
            <w:tcW w:w="980" w:type="dxa"/>
            <w:gridSpan w:val="2"/>
            <w:vMerge w:val="continue"/>
            <w:tcBorders>
              <w:left w:val="single" w:color="auto" w:sz="4" w:space="0"/>
            </w:tcBorders>
            <w:noWrap w:val="0"/>
            <w:vAlign w:val="center"/>
          </w:tcPr>
          <w:p w14:paraId="4FE5C6DF">
            <w:pPr>
              <w:jc w:val="center"/>
              <w:rPr>
                <w:rFonts w:ascii="宋体" w:hAnsi="宋体"/>
                <w:color w:val="auto"/>
                <w:sz w:val="18"/>
                <w:szCs w:val="18"/>
                <w:highlight w:val="none"/>
              </w:rPr>
            </w:pPr>
          </w:p>
        </w:tc>
        <w:tc>
          <w:tcPr>
            <w:tcW w:w="1000" w:type="dxa"/>
            <w:vMerge w:val="continue"/>
            <w:noWrap w:val="0"/>
            <w:vAlign w:val="center"/>
          </w:tcPr>
          <w:p w14:paraId="7D9601B0">
            <w:pPr>
              <w:jc w:val="center"/>
              <w:rPr>
                <w:rFonts w:ascii="宋体" w:hAnsi="宋体"/>
                <w:color w:val="auto"/>
                <w:sz w:val="18"/>
                <w:szCs w:val="18"/>
                <w:highlight w:val="none"/>
              </w:rPr>
            </w:pPr>
          </w:p>
        </w:tc>
        <w:tc>
          <w:tcPr>
            <w:tcW w:w="1532" w:type="dxa"/>
            <w:noWrap w:val="0"/>
            <w:vAlign w:val="center"/>
          </w:tcPr>
          <w:p w14:paraId="59E6E276">
            <w:pPr>
              <w:spacing w:line="0" w:lineRule="atLeast"/>
              <w:jc w:val="center"/>
              <w:rPr>
                <w:rFonts w:ascii="宋体" w:hAnsi="宋体"/>
                <w:color w:val="auto"/>
                <w:w w:val="98"/>
                <w:highlight w:val="none"/>
              </w:rPr>
            </w:pPr>
            <w:r>
              <w:rPr>
                <w:rFonts w:ascii="宋体" w:hAnsi="宋体"/>
                <w:color w:val="auto"/>
                <w:sz w:val="18"/>
                <w:szCs w:val="18"/>
                <w:highlight w:val="none"/>
              </w:rPr>
              <w:t>质量、安全、环保</w:t>
            </w:r>
            <w:r>
              <w:rPr>
                <w:rFonts w:hint="eastAsia" w:ascii="宋体" w:hAnsi="宋体"/>
                <w:color w:val="auto"/>
                <w:sz w:val="18"/>
                <w:szCs w:val="18"/>
                <w:highlight w:val="none"/>
              </w:rPr>
              <w:t>、</w:t>
            </w:r>
            <w:r>
              <w:rPr>
                <w:rFonts w:ascii="宋体" w:hAnsi="宋体"/>
                <w:color w:val="auto"/>
                <w:sz w:val="18"/>
                <w:szCs w:val="18"/>
                <w:highlight w:val="none"/>
              </w:rPr>
              <w:t>进度</w:t>
            </w:r>
            <w:r>
              <w:rPr>
                <w:rFonts w:hint="eastAsia" w:ascii="宋体" w:hAnsi="宋体"/>
                <w:color w:val="auto"/>
                <w:sz w:val="18"/>
                <w:szCs w:val="18"/>
                <w:highlight w:val="none"/>
              </w:rPr>
              <w:t>保证</w:t>
            </w:r>
            <w:r>
              <w:rPr>
                <w:rFonts w:ascii="宋体" w:hAnsi="宋体"/>
                <w:color w:val="auto"/>
                <w:sz w:val="18"/>
                <w:szCs w:val="18"/>
                <w:highlight w:val="none"/>
              </w:rPr>
              <w:t>措施及合理化建议</w:t>
            </w:r>
          </w:p>
        </w:tc>
        <w:tc>
          <w:tcPr>
            <w:tcW w:w="703" w:type="dxa"/>
            <w:tcBorders>
              <w:right w:val="single" w:color="auto" w:sz="4" w:space="0"/>
            </w:tcBorders>
            <w:noWrap w:val="0"/>
            <w:vAlign w:val="center"/>
          </w:tcPr>
          <w:p w14:paraId="33DF67CF">
            <w:pPr>
              <w:jc w:val="center"/>
              <w:rPr>
                <w:rFonts w:ascii="宋体" w:hAnsi="宋体"/>
                <w:color w:val="auto"/>
                <w:sz w:val="18"/>
                <w:szCs w:val="18"/>
                <w:highlight w:val="none"/>
              </w:rPr>
            </w:pPr>
            <w:r>
              <w:rPr>
                <w:rFonts w:hint="eastAsia" w:ascii="宋体" w:hAnsi="宋体"/>
                <w:color w:val="auto"/>
                <w:sz w:val="18"/>
                <w:szCs w:val="18"/>
                <w:highlight w:val="none"/>
              </w:rPr>
              <w:t>12</w:t>
            </w:r>
          </w:p>
        </w:tc>
        <w:tc>
          <w:tcPr>
            <w:tcW w:w="4872" w:type="dxa"/>
            <w:noWrap w:val="0"/>
            <w:vAlign w:val="center"/>
          </w:tcPr>
          <w:p w14:paraId="438F8734">
            <w:pPr>
              <w:spacing w:line="240" w:lineRule="exact"/>
              <w:rPr>
                <w:rFonts w:ascii="宋体" w:hAnsi="宋体"/>
                <w:color w:val="auto"/>
                <w:sz w:val="18"/>
                <w:szCs w:val="18"/>
                <w:highlight w:val="none"/>
              </w:rPr>
            </w:pPr>
            <w:r>
              <w:rPr>
                <w:rFonts w:ascii="宋体" w:hAnsi="宋体"/>
                <w:color w:val="auto"/>
                <w:sz w:val="18"/>
                <w:szCs w:val="18"/>
                <w:highlight w:val="none"/>
              </w:rPr>
              <w:fldChar w:fldCharType="begin"/>
            </w:r>
            <w:r>
              <w:rPr>
                <w:rFonts w:ascii="宋体" w:hAnsi="宋体"/>
                <w:color w:val="auto"/>
                <w:sz w:val="18"/>
                <w:szCs w:val="18"/>
                <w:highlight w:val="none"/>
              </w:rPr>
              <w:instrText xml:space="preserve"> </w:instrText>
            </w:r>
            <w:r>
              <w:rPr>
                <w:rFonts w:hint="eastAsia" w:ascii="宋体" w:hAnsi="宋体"/>
                <w:color w:val="auto"/>
                <w:sz w:val="18"/>
                <w:szCs w:val="18"/>
                <w:highlight w:val="none"/>
              </w:rPr>
              <w:instrText xml:space="preserve">= 1 \* GB3</w:instrText>
            </w:r>
            <w:r>
              <w:rPr>
                <w:rFonts w:ascii="宋体" w:hAnsi="宋体"/>
                <w:color w:val="auto"/>
                <w:sz w:val="18"/>
                <w:szCs w:val="18"/>
                <w:highlight w:val="none"/>
              </w:rPr>
              <w:instrText xml:space="preserve"> </w:instrText>
            </w:r>
            <w:r>
              <w:rPr>
                <w:rFonts w:ascii="宋体" w:hAnsi="宋体"/>
                <w:color w:val="auto"/>
                <w:sz w:val="18"/>
                <w:szCs w:val="18"/>
                <w:highlight w:val="none"/>
              </w:rPr>
              <w:fldChar w:fldCharType="separate"/>
            </w:r>
            <w:r>
              <w:rPr>
                <w:rFonts w:hint="eastAsia" w:ascii="宋体" w:hAnsi="宋体"/>
                <w:color w:val="auto"/>
                <w:sz w:val="18"/>
                <w:szCs w:val="18"/>
                <w:highlight w:val="none"/>
              </w:rPr>
              <w:t>①</w:t>
            </w:r>
            <w:r>
              <w:rPr>
                <w:rFonts w:ascii="宋体" w:hAnsi="宋体"/>
                <w:color w:val="auto"/>
                <w:sz w:val="18"/>
                <w:szCs w:val="18"/>
                <w:highlight w:val="none"/>
              </w:rPr>
              <w:fldChar w:fldCharType="end"/>
            </w:r>
            <w:r>
              <w:rPr>
                <w:rFonts w:ascii="宋体" w:hAnsi="宋体"/>
                <w:color w:val="auto"/>
                <w:sz w:val="18"/>
                <w:szCs w:val="18"/>
                <w:highlight w:val="none"/>
              </w:rPr>
              <w:t>质量、安全、环保</w:t>
            </w:r>
            <w:r>
              <w:rPr>
                <w:rFonts w:hint="eastAsia" w:ascii="宋体" w:hAnsi="宋体"/>
                <w:color w:val="auto"/>
                <w:sz w:val="18"/>
                <w:szCs w:val="18"/>
                <w:highlight w:val="none"/>
              </w:rPr>
              <w:t>、</w:t>
            </w:r>
            <w:r>
              <w:rPr>
                <w:rFonts w:ascii="宋体" w:hAnsi="宋体"/>
                <w:color w:val="auto"/>
                <w:sz w:val="18"/>
                <w:szCs w:val="18"/>
                <w:highlight w:val="none"/>
              </w:rPr>
              <w:t>进度</w:t>
            </w:r>
            <w:r>
              <w:rPr>
                <w:rFonts w:hint="eastAsia" w:ascii="宋体" w:hAnsi="宋体"/>
                <w:color w:val="auto"/>
                <w:sz w:val="18"/>
                <w:szCs w:val="18"/>
                <w:highlight w:val="none"/>
              </w:rPr>
              <w:t>保证</w:t>
            </w:r>
            <w:r>
              <w:rPr>
                <w:rFonts w:ascii="宋体" w:hAnsi="宋体"/>
                <w:color w:val="auto"/>
                <w:sz w:val="18"/>
                <w:szCs w:val="18"/>
                <w:highlight w:val="none"/>
              </w:rPr>
              <w:t>措施及合理化建议详细程度、合理性、针对性</w:t>
            </w:r>
            <w:r>
              <w:rPr>
                <w:rFonts w:hint="eastAsia" w:ascii="宋体" w:hAnsi="宋体"/>
                <w:color w:val="auto"/>
                <w:sz w:val="18"/>
                <w:szCs w:val="18"/>
                <w:highlight w:val="none"/>
              </w:rPr>
              <w:t>一般</w:t>
            </w:r>
            <w:r>
              <w:rPr>
                <w:rFonts w:ascii="宋体" w:hAnsi="宋体"/>
                <w:color w:val="auto"/>
                <w:sz w:val="18"/>
                <w:szCs w:val="18"/>
                <w:highlight w:val="none"/>
              </w:rPr>
              <w:t>的，得</w:t>
            </w:r>
            <w:r>
              <w:rPr>
                <w:rFonts w:hint="eastAsia" w:ascii="宋体" w:hAnsi="宋体"/>
                <w:color w:val="auto"/>
                <w:sz w:val="18"/>
                <w:szCs w:val="18"/>
                <w:highlight w:val="none"/>
              </w:rPr>
              <w:t>7.2</w:t>
            </w:r>
            <w:r>
              <w:rPr>
                <w:rFonts w:ascii="宋体" w:hAnsi="宋体"/>
                <w:color w:val="auto"/>
                <w:sz w:val="18"/>
                <w:szCs w:val="18"/>
                <w:highlight w:val="none"/>
              </w:rPr>
              <w:t>分；</w:t>
            </w:r>
          </w:p>
          <w:p w14:paraId="2B1D730D">
            <w:pPr>
              <w:spacing w:line="240" w:lineRule="exact"/>
              <w:rPr>
                <w:rFonts w:ascii="宋体" w:hAnsi="宋体"/>
                <w:color w:val="auto"/>
                <w:sz w:val="18"/>
                <w:szCs w:val="18"/>
                <w:highlight w:val="none"/>
              </w:rPr>
            </w:pPr>
            <w:r>
              <w:rPr>
                <w:rFonts w:ascii="宋体" w:hAnsi="宋体"/>
                <w:color w:val="auto"/>
                <w:sz w:val="18"/>
                <w:szCs w:val="18"/>
                <w:highlight w:val="none"/>
              </w:rPr>
              <w:fldChar w:fldCharType="begin"/>
            </w:r>
            <w:r>
              <w:rPr>
                <w:rFonts w:ascii="宋体" w:hAnsi="宋体"/>
                <w:color w:val="auto"/>
                <w:sz w:val="18"/>
                <w:szCs w:val="18"/>
                <w:highlight w:val="none"/>
              </w:rPr>
              <w:instrText xml:space="preserve"> </w:instrText>
            </w:r>
            <w:r>
              <w:rPr>
                <w:rFonts w:hint="eastAsia" w:ascii="宋体" w:hAnsi="宋体"/>
                <w:color w:val="auto"/>
                <w:sz w:val="18"/>
                <w:szCs w:val="18"/>
                <w:highlight w:val="none"/>
              </w:rPr>
              <w:instrText xml:space="preserve">= 2 \* GB3</w:instrText>
            </w:r>
            <w:r>
              <w:rPr>
                <w:rFonts w:ascii="宋体" w:hAnsi="宋体"/>
                <w:color w:val="auto"/>
                <w:sz w:val="18"/>
                <w:szCs w:val="18"/>
                <w:highlight w:val="none"/>
              </w:rPr>
              <w:instrText xml:space="preserve"> </w:instrText>
            </w:r>
            <w:r>
              <w:rPr>
                <w:rFonts w:ascii="宋体" w:hAnsi="宋体"/>
                <w:color w:val="auto"/>
                <w:sz w:val="18"/>
                <w:szCs w:val="18"/>
                <w:highlight w:val="none"/>
              </w:rPr>
              <w:fldChar w:fldCharType="separate"/>
            </w:r>
            <w:r>
              <w:rPr>
                <w:rFonts w:hint="eastAsia" w:ascii="宋体" w:hAnsi="宋体"/>
                <w:color w:val="auto"/>
                <w:sz w:val="18"/>
                <w:szCs w:val="18"/>
                <w:highlight w:val="none"/>
              </w:rPr>
              <w:t>②</w:t>
            </w:r>
            <w:r>
              <w:rPr>
                <w:rFonts w:ascii="宋体" w:hAnsi="宋体"/>
                <w:color w:val="auto"/>
                <w:sz w:val="18"/>
                <w:szCs w:val="18"/>
                <w:highlight w:val="none"/>
              </w:rPr>
              <w:fldChar w:fldCharType="end"/>
            </w:r>
            <w:r>
              <w:rPr>
                <w:rFonts w:ascii="宋体" w:hAnsi="宋体"/>
                <w:color w:val="auto"/>
                <w:sz w:val="18"/>
                <w:szCs w:val="18"/>
                <w:highlight w:val="none"/>
              </w:rPr>
              <w:t>质量、安全、环保</w:t>
            </w:r>
            <w:r>
              <w:rPr>
                <w:rFonts w:hint="eastAsia" w:ascii="宋体" w:hAnsi="宋体"/>
                <w:color w:val="auto"/>
                <w:sz w:val="18"/>
                <w:szCs w:val="18"/>
                <w:highlight w:val="none"/>
              </w:rPr>
              <w:t>、</w:t>
            </w:r>
            <w:r>
              <w:rPr>
                <w:rFonts w:ascii="宋体" w:hAnsi="宋体"/>
                <w:color w:val="auto"/>
                <w:sz w:val="18"/>
                <w:szCs w:val="18"/>
                <w:highlight w:val="none"/>
              </w:rPr>
              <w:t>进度</w:t>
            </w:r>
            <w:r>
              <w:rPr>
                <w:rFonts w:hint="eastAsia" w:ascii="宋体" w:hAnsi="宋体"/>
                <w:color w:val="auto"/>
                <w:sz w:val="18"/>
                <w:szCs w:val="18"/>
                <w:highlight w:val="none"/>
              </w:rPr>
              <w:t>保证</w:t>
            </w:r>
            <w:r>
              <w:rPr>
                <w:rFonts w:ascii="宋体" w:hAnsi="宋体"/>
                <w:color w:val="auto"/>
                <w:sz w:val="18"/>
                <w:szCs w:val="18"/>
                <w:highlight w:val="none"/>
              </w:rPr>
              <w:t>措施及合理化建议详细程度、合理性、针对性较好的，得</w:t>
            </w:r>
            <w:r>
              <w:rPr>
                <w:rFonts w:hint="eastAsia" w:ascii="宋体" w:hAnsi="宋体"/>
                <w:color w:val="auto"/>
                <w:sz w:val="18"/>
                <w:szCs w:val="18"/>
                <w:highlight w:val="none"/>
              </w:rPr>
              <w:t>7.2</w:t>
            </w:r>
            <w:r>
              <w:rPr>
                <w:rFonts w:hint="eastAsia" w:ascii="宋体" w:hAnsi="宋体"/>
                <w:color w:val="auto"/>
                <w:highlight w:val="none"/>
              </w:rPr>
              <w:t>～</w:t>
            </w:r>
            <w:r>
              <w:rPr>
                <w:rFonts w:hint="eastAsia" w:ascii="宋体" w:hAnsi="宋体"/>
                <w:color w:val="auto"/>
                <w:sz w:val="18"/>
                <w:szCs w:val="18"/>
                <w:highlight w:val="none"/>
              </w:rPr>
              <w:t>9.6</w:t>
            </w:r>
            <w:r>
              <w:rPr>
                <w:rFonts w:ascii="宋体" w:hAnsi="宋体"/>
                <w:color w:val="auto"/>
                <w:sz w:val="18"/>
                <w:szCs w:val="18"/>
                <w:highlight w:val="none"/>
              </w:rPr>
              <w:t>分；</w:t>
            </w:r>
          </w:p>
          <w:p w14:paraId="70D967A1">
            <w:pPr>
              <w:spacing w:line="240" w:lineRule="exact"/>
              <w:rPr>
                <w:rFonts w:ascii="宋体" w:hAnsi="宋体"/>
                <w:color w:val="auto"/>
                <w:sz w:val="18"/>
                <w:szCs w:val="18"/>
                <w:highlight w:val="none"/>
              </w:rPr>
            </w:pPr>
            <w:r>
              <w:rPr>
                <w:rFonts w:ascii="宋体" w:hAnsi="宋体"/>
                <w:color w:val="auto"/>
                <w:sz w:val="18"/>
                <w:szCs w:val="18"/>
                <w:highlight w:val="none"/>
              </w:rPr>
              <w:fldChar w:fldCharType="begin"/>
            </w:r>
            <w:r>
              <w:rPr>
                <w:rFonts w:ascii="宋体" w:hAnsi="宋体"/>
                <w:color w:val="auto"/>
                <w:sz w:val="18"/>
                <w:szCs w:val="18"/>
                <w:highlight w:val="none"/>
              </w:rPr>
              <w:instrText xml:space="preserve"> </w:instrText>
            </w:r>
            <w:r>
              <w:rPr>
                <w:rFonts w:hint="eastAsia" w:ascii="宋体" w:hAnsi="宋体"/>
                <w:color w:val="auto"/>
                <w:sz w:val="18"/>
                <w:szCs w:val="18"/>
                <w:highlight w:val="none"/>
              </w:rPr>
              <w:instrText xml:space="preserve">= 3 \* GB3</w:instrText>
            </w:r>
            <w:r>
              <w:rPr>
                <w:rFonts w:ascii="宋体" w:hAnsi="宋体"/>
                <w:color w:val="auto"/>
                <w:sz w:val="18"/>
                <w:szCs w:val="18"/>
                <w:highlight w:val="none"/>
              </w:rPr>
              <w:instrText xml:space="preserve"> </w:instrText>
            </w:r>
            <w:r>
              <w:rPr>
                <w:rFonts w:ascii="宋体" w:hAnsi="宋体"/>
                <w:color w:val="auto"/>
                <w:sz w:val="18"/>
                <w:szCs w:val="18"/>
                <w:highlight w:val="none"/>
              </w:rPr>
              <w:fldChar w:fldCharType="separate"/>
            </w:r>
            <w:r>
              <w:rPr>
                <w:rFonts w:hint="eastAsia" w:ascii="宋体" w:hAnsi="宋体"/>
                <w:color w:val="auto"/>
                <w:sz w:val="18"/>
                <w:szCs w:val="18"/>
                <w:highlight w:val="none"/>
              </w:rPr>
              <w:t>③</w:t>
            </w:r>
            <w:r>
              <w:rPr>
                <w:rFonts w:ascii="宋体" w:hAnsi="宋体"/>
                <w:color w:val="auto"/>
                <w:sz w:val="18"/>
                <w:szCs w:val="18"/>
                <w:highlight w:val="none"/>
              </w:rPr>
              <w:fldChar w:fldCharType="end"/>
            </w:r>
            <w:r>
              <w:rPr>
                <w:rFonts w:ascii="宋体" w:hAnsi="宋体"/>
                <w:color w:val="auto"/>
                <w:sz w:val="18"/>
                <w:szCs w:val="18"/>
                <w:highlight w:val="none"/>
              </w:rPr>
              <w:t>质量、安全、环保</w:t>
            </w:r>
            <w:r>
              <w:rPr>
                <w:rFonts w:hint="eastAsia" w:ascii="宋体" w:hAnsi="宋体"/>
                <w:color w:val="auto"/>
                <w:sz w:val="18"/>
                <w:szCs w:val="18"/>
                <w:highlight w:val="none"/>
              </w:rPr>
              <w:t>、</w:t>
            </w:r>
            <w:r>
              <w:rPr>
                <w:rFonts w:ascii="宋体" w:hAnsi="宋体"/>
                <w:color w:val="auto"/>
                <w:sz w:val="18"/>
                <w:szCs w:val="18"/>
                <w:highlight w:val="none"/>
              </w:rPr>
              <w:t>进度</w:t>
            </w:r>
            <w:r>
              <w:rPr>
                <w:rFonts w:hint="eastAsia" w:ascii="宋体" w:hAnsi="宋体"/>
                <w:color w:val="auto"/>
                <w:sz w:val="18"/>
                <w:szCs w:val="18"/>
                <w:highlight w:val="none"/>
              </w:rPr>
              <w:t>保证</w:t>
            </w:r>
            <w:r>
              <w:rPr>
                <w:rFonts w:ascii="宋体" w:hAnsi="宋体"/>
                <w:color w:val="auto"/>
                <w:sz w:val="18"/>
                <w:szCs w:val="18"/>
                <w:highlight w:val="none"/>
              </w:rPr>
              <w:t>措施及合理化建议详细程度、合理性、针对性好的，</w:t>
            </w:r>
            <w:r>
              <w:rPr>
                <w:rFonts w:hint="eastAsia" w:ascii="宋体" w:hAnsi="宋体"/>
                <w:color w:val="auto"/>
                <w:sz w:val="18"/>
                <w:szCs w:val="18"/>
                <w:highlight w:val="none"/>
              </w:rPr>
              <w:t>得9.6</w:t>
            </w:r>
            <w:r>
              <w:rPr>
                <w:rFonts w:hint="eastAsia" w:ascii="宋体" w:hAnsi="宋体"/>
                <w:color w:val="auto"/>
                <w:highlight w:val="none"/>
              </w:rPr>
              <w:t>～</w:t>
            </w:r>
            <w:r>
              <w:rPr>
                <w:rFonts w:hint="eastAsia" w:ascii="宋体" w:hAnsi="宋体"/>
                <w:color w:val="auto"/>
                <w:sz w:val="18"/>
                <w:szCs w:val="18"/>
                <w:highlight w:val="none"/>
              </w:rPr>
              <w:t>12</w:t>
            </w:r>
            <w:r>
              <w:rPr>
                <w:rFonts w:ascii="宋体" w:hAnsi="宋体"/>
                <w:color w:val="auto"/>
                <w:sz w:val="18"/>
                <w:szCs w:val="18"/>
                <w:highlight w:val="none"/>
              </w:rPr>
              <w:t>分。</w:t>
            </w:r>
          </w:p>
        </w:tc>
      </w:tr>
      <w:tr w14:paraId="5DA43D1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073" w:hRule="atLeast"/>
          <w:jc w:val="center"/>
        </w:trPr>
        <w:tc>
          <w:tcPr>
            <w:tcW w:w="656" w:type="dxa"/>
            <w:vMerge w:val="restart"/>
            <w:tcBorders>
              <w:right w:val="single" w:color="auto" w:sz="4" w:space="0"/>
            </w:tcBorders>
            <w:noWrap w:val="0"/>
            <w:vAlign w:val="center"/>
          </w:tcPr>
          <w:p w14:paraId="23A0820B">
            <w:pPr>
              <w:jc w:val="center"/>
              <w:rPr>
                <w:rFonts w:ascii="宋体" w:hAnsi="宋体"/>
                <w:color w:val="auto"/>
                <w:sz w:val="18"/>
                <w:szCs w:val="18"/>
                <w:highlight w:val="none"/>
              </w:rPr>
            </w:pPr>
            <w:r>
              <w:rPr>
                <w:rFonts w:ascii="宋体" w:hAnsi="宋体"/>
                <w:color w:val="auto"/>
                <w:sz w:val="18"/>
                <w:szCs w:val="18"/>
                <w:highlight w:val="none"/>
              </w:rPr>
              <w:t>2.2.2（</w:t>
            </w:r>
            <w:r>
              <w:rPr>
                <w:rFonts w:hint="eastAsia" w:ascii="宋体" w:hAnsi="宋体"/>
                <w:color w:val="auto"/>
                <w:sz w:val="18"/>
                <w:szCs w:val="18"/>
                <w:highlight w:val="none"/>
              </w:rPr>
              <w:t>2</w:t>
            </w:r>
            <w:r>
              <w:rPr>
                <w:rFonts w:ascii="宋体" w:hAnsi="宋体"/>
                <w:color w:val="auto"/>
                <w:sz w:val="18"/>
                <w:szCs w:val="18"/>
                <w:highlight w:val="none"/>
              </w:rPr>
              <w:t>）</w:t>
            </w:r>
          </w:p>
        </w:tc>
        <w:tc>
          <w:tcPr>
            <w:tcW w:w="980" w:type="dxa"/>
            <w:gridSpan w:val="2"/>
            <w:vMerge w:val="restart"/>
            <w:tcBorders>
              <w:left w:val="single" w:color="auto" w:sz="4" w:space="0"/>
            </w:tcBorders>
            <w:noWrap w:val="0"/>
            <w:vAlign w:val="center"/>
          </w:tcPr>
          <w:p w14:paraId="1FABFACE">
            <w:pPr>
              <w:jc w:val="center"/>
              <w:rPr>
                <w:rFonts w:ascii="宋体" w:hAnsi="宋体"/>
                <w:color w:val="auto"/>
                <w:sz w:val="18"/>
                <w:szCs w:val="18"/>
                <w:highlight w:val="none"/>
              </w:rPr>
            </w:pPr>
            <w:r>
              <w:rPr>
                <w:rFonts w:hint="eastAsia" w:ascii="宋体" w:hAnsi="宋体"/>
                <w:color w:val="auto"/>
                <w:sz w:val="18"/>
                <w:szCs w:val="18"/>
                <w:highlight w:val="none"/>
              </w:rPr>
              <w:t>主要人员</w:t>
            </w:r>
          </w:p>
        </w:tc>
        <w:tc>
          <w:tcPr>
            <w:tcW w:w="1000" w:type="dxa"/>
            <w:vMerge w:val="restart"/>
            <w:noWrap w:val="0"/>
            <w:vAlign w:val="center"/>
          </w:tcPr>
          <w:p w14:paraId="22745CDE">
            <w:pPr>
              <w:jc w:val="center"/>
              <w:rPr>
                <w:rFonts w:ascii="宋体" w:hAnsi="宋体"/>
                <w:color w:val="auto"/>
                <w:sz w:val="18"/>
                <w:szCs w:val="18"/>
                <w:highlight w:val="none"/>
              </w:rPr>
            </w:pPr>
            <w:r>
              <w:rPr>
                <w:rFonts w:hint="eastAsia" w:ascii="宋体" w:hAnsi="宋体"/>
                <w:color w:val="auto"/>
                <w:sz w:val="18"/>
                <w:szCs w:val="18"/>
                <w:highlight w:val="none"/>
              </w:rPr>
              <w:t>25分</w:t>
            </w:r>
          </w:p>
        </w:tc>
        <w:tc>
          <w:tcPr>
            <w:tcW w:w="1532" w:type="dxa"/>
            <w:tcBorders>
              <w:bottom w:val="single" w:color="auto" w:sz="4" w:space="0"/>
            </w:tcBorders>
            <w:noWrap w:val="0"/>
            <w:vAlign w:val="center"/>
          </w:tcPr>
          <w:p w14:paraId="0B8C3C7A">
            <w:pPr>
              <w:jc w:val="center"/>
              <w:rPr>
                <w:rFonts w:ascii="宋体" w:hAnsi="宋体"/>
                <w:color w:val="auto"/>
                <w:sz w:val="18"/>
                <w:szCs w:val="18"/>
                <w:highlight w:val="none"/>
              </w:rPr>
            </w:pPr>
            <w:r>
              <w:rPr>
                <w:rFonts w:ascii="宋体" w:hAnsi="宋体"/>
                <w:color w:val="auto"/>
                <w:sz w:val="18"/>
                <w:szCs w:val="18"/>
                <w:highlight w:val="none"/>
              </w:rPr>
              <w:t>项目</w:t>
            </w:r>
            <w:r>
              <w:rPr>
                <w:rFonts w:hint="eastAsia" w:ascii="宋体" w:hAnsi="宋体"/>
                <w:color w:val="auto"/>
                <w:sz w:val="18"/>
                <w:szCs w:val="18"/>
                <w:highlight w:val="none"/>
              </w:rPr>
              <w:t>经理</w:t>
            </w:r>
          </w:p>
          <w:p w14:paraId="1958D298">
            <w:pPr>
              <w:jc w:val="center"/>
              <w:rPr>
                <w:rFonts w:ascii="宋体" w:hAnsi="宋体"/>
                <w:color w:val="auto"/>
                <w:sz w:val="18"/>
                <w:szCs w:val="18"/>
                <w:highlight w:val="none"/>
              </w:rPr>
            </w:pPr>
            <w:r>
              <w:rPr>
                <w:rFonts w:ascii="宋体" w:hAnsi="宋体"/>
                <w:color w:val="auto"/>
                <w:sz w:val="18"/>
                <w:szCs w:val="18"/>
                <w:highlight w:val="none"/>
              </w:rPr>
              <w:t>任职资格与业绩</w:t>
            </w:r>
          </w:p>
        </w:tc>
        <w:tc>
          <w:tcPr>
            <w:tcW w:w="703" w:type="dxa"/>
            <w:tcBorders>
              <w:bottom w:val="single" w:color="auto" w:sz="4" w:space="0"/>
              <w:right w:val="single" w:color="auto" w:sz="4" w:space="0"/>
            </w:tcBorders>
            <w:noWrap w:val="0"/>
            <w:vAlign w:val="center"/>
          </w:tcPr>
          <w:p w14:paraId="519AB2D2">
            <w:pPr>
              <w:jc w:val="center"/>
              <w:rPr>
                <w:rFonts w:ascii="宋体" w:hAnsi="宋体"/>
                <w:color w:val="auto"/>
                <w:sz w:val="18"/>
                <w:szCs w:val="18"/>
                <w:highlight w:val="none"/>
              </w:rPr>
            </w:pPr>
            <w:r>
              <w:rPr>
                <w:rFonts w:hint="eastAsia" w:ascii="宋体" w:hAnsi="宋体"/>
                <w:color w:val="auto"/>
                <w:sz w:val="18"/>
                <w:szCs w:val="18"/>
                <w:highlight w:val="none"/>
              </w:rPr>
              <w:t>12.5</w:t>
            </w:r>
          </w:p>
        </w:tc>
        <w:tc>
          <w:tcPr>
            <w:tcW w:w="4872" w:type="dxa"/>
            <w:tcBorders>
              <w:bottom w:val="single" w:color="auto" w:sz="4" w:space="0"/>
            </w:tcBorders>
            <w:noWrap w:val="0"/>
            <w:vAlign w:val="center"/>
          </w:tcPr>
          <w:p w14:paraId="6F96D370">
            <w:pPr>
              <w:pStyle w:val="2"/>
              <w:ind w:left="0" w:leftChars="0" w:firstLine="0" w:firstLineChars="0"/>
              <w:rPr>
                <w:rFonts w:hint="eastAsia" w:eastAsia="宋体"/>
                <w:color w:val="auto"/>
                <w:highlight w:val="none"/>
                <w:lang w:eastAsia="zh-CN"/>
              </w:rPr>
            </w:pPr>
            <w:r>
              <w:rPr>
                <w:rFonts w:ascii="宋体" w:hAnsi="宋体"/>
                <w:color w:val="auto"/>
                <w:sz w:val="18"/>
                <w:szCs w:val="18"/>
                <w:highlight w:val="none"/>
              </w:rPr>
              <w:t>满足资格审查条件（项目经理最低要求）</w:t>
            </w:r>
            <w:r>
              <w:rPr>
                <w:rFonts w:hint="eastAsia" w:ascii="宋体" w:hAnsi="宋体"/>
                <w:color w:val="auto"/>
                <w:sz w:val="18"/>
                <w:szCs w:val="18"/>
                <w:highlight w:val="none"/>
              </w:rPr>
              <w:t>，</w:t>
            </w:r>
            <w:r>
              <w:rPr>
                <w:rFonts w:ascii="宋体" w:hAnsi="宋体"/>
                <w:color w:val="auto"/>
                <w:sz w:val="18"/>
                <w:szCs w:val="18"/>
                <w:highlight w:val="none"/>
              </w:rPr>
              <w:t>得</w:t>
            </w:r>
            <w:r>
              <w:rPr>
                <w:rFonts w:hint="eastAsia" w:ascii="宋体" w:hAnsi="宋体"/>
                <w:color w:val="auto"/>
                <w:sz w:val="18"/>
                <w:szCs w:val="18"/>
                <w:highlight w:val="none"/>
                <w:lang w:val="en-US" w:eastAsia="zh-CN"/>
              </w:rPr>
              <w:t>12</w:t>
            </w:r>
            <w:r>
              <w:rPr>
                <w:rFonts w:hint="eastAsia" w:ascii="宋体" w:hAnsi="宋体"/>
                <w:color w:val="auto"/>
                <w:sz w:val="18"/>
                <w:szCs w:val="18"/>
                <w:highlight w:val="none"/>
              </w:rPr>
              <w:t>.5</w:t>
            </w:r>
            <w:r>
              <w:rPr>
                <w:rFonts w:ascii="宋体" w:hAnsi="宋体"/>
                <w:color w:val="auto"/>
                <w:sz w:val="18"/>
                <w:szCs w:val="18"/>
                <w:highlight w:val="none"/>
              </w:rPr>
              <w:t>分</w:t>
            </w:r>
            <w:r>
              <w:rPr>
                <w:rFonts w:hint="eastAsia" w:ascii="宋体" w:hAnsi="宋体"/>
                <w:color w:val="auto"/>
                <w:sz w:val="18"/>
                <w:szCs w:val="18"/>
                <w:highlight w:val="none"/>
              </w:rPr>
              <w:t>，</w:t>
            </w:r>
            <w:r>
              <w:rPr>
                <w:rFonts w:ascii="宋体" w:hAnsi="宋体"/>
                <w:color w:val="auto"/>
                <w:sz w:val="18"/>
                <w:szCs w:val="18"/>
                <w:highlight w:val="none"/>
              </w:rPr>
              <w:t>加分情况如下：</w:t>
            </w:r>
            <w:r>
              <w:rPr>
                <w:rFonts w:hint="eastAsia" w:ascii="宋体" w:hAnsi="宋体"/>
                <w:color w:val="auto"/>
                <w:sz w:val="18"/>
                <w:szCs w:val="18"/>
                <w:highlight w:val="none"/>
                <w:lang w:val="en-US" w:eastAsia="zh-CN"/>
              </w:rPr>
              <w:t>/</w:t>
            </w:r>
          </w:p>
        </w:tc>
      </w:tr>
      <w:tr w14:paraId="28EA5AB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284" w:hRule="atLeast"/>
          <w:jc w:val="center"/>
        </w:trPr>
        <w:tc>
          <w:tcPr>
            <w:tcW w:w="656" w:type="dxa"/>
            <w:vMerge w:val="continue"/>
            <w:tcBorders>
              <w:right w:val="single" w:color="auto" w:sz="4" w:space="0"/>
            </w:tcBorders>
            <w:noWrap w:val="0"/>
            <w:vAlign w:val="center"/>
          </w:tcPr>
          <w:p w14:paraId="3F11F49E">
            <w:pPr>
              <w:jc w:val="center"/>
              <w:rPr>
                <w:rFonts w:ascii="宋体" w:hAnsi="宋体"/>
                <w:color w:val="auto"/>
                <w:sz w:val="18"/>
                <w:szCs w:val="18"/>
                <w:highlight w:val="none"/>
              </w:rPr>
            </w:pPr>
          </w:p>
        </w:tc>
        <w:tc>
          <w:tcPr>
            <w:tcW w:w="980" w:type="dxa"/>
            <w:gridSpan w:val="2"/>
            <w:vMerge w:val="continue"/>
            <w:tcBorders>
              <w:left w:val="single" w:color="auto" w:sz="4" w:space="0"/>
            </w:tcBorders>
            <w:noWrap w:val="0"/>
            <w:vAlign w:val="center"/>
          </w:tcPr>
          <w:p w14:paraId="60A07E72">
            <w:pPr>
              <w:jc w:val="center"/>
              <w:rPr>
                <w:rFonts w:ascii="宋体" w:hAnsi="宋体"/>
                <w:color w:val="auto"/>
                <w:sz w:val="18"/>
                <w:szCs w:val="18"/>
                <w:highlight w:val="none"/>
              </w:rPr>
            </w:pPr>
          </w:p>
        </w:tc>
        <w:tc>
          <w:tcPr>
            <w:tcW w:w="1000" w:type="dxa"/>
            <w:vMerge w:val="continue"/>
            <w:noWrap w:val="0"/>
            <w:vAlign w:val="center"/>
          </w:tcPr>
          <w:p w14:paraId="39242548">
            <w:pPr>
              <w:jc w:val="center"/>
              <w:rPr>
                <w:rFonts w:ascii="宋体" w:hAnsi="宋体"/>
                <w:color w:val="auto"/>
                <w:sz w:val="18"/>
                <w:szCs w:val="18"/>
                <w:highlight w:val="none"/>
              </w:rPr>
            </w:pPr>
          </w:p>
        </w:tc>
        <w:tc>
          <w:tcPr>
            <w:tcW w:w="1532" w:type="dxa"/>
            <w:tcBorders>
              <w:top w:val="single" w:color="auto" w:sz="4" w:space="0"/>
              <w:bottom w:val="single" w:color="auto" w:sz="4" w:space="0"/>
            </w:tcBorders>
            <w:noWrap w:val="0"/>
            <w:vAlign w:val="center"/>
          </w:tcPr>
          <w:p w14:paraId="3584B920">
            <w:pPr>
              <w:jc w:val="center"/>
              <w:rPr>
                <w:rFonts w:ascii="宋体" w:hAnsi="宋体"/>
                <w:color w:val="auto"/>
                <w:sz w:val="18"/>
                <w:szCs w:val="18"/>
                <w:highlight w:val="none"/>
              </w:rPr>
            </w:pPr>
            <w:r>
              <w:rPr>
                <w:rFonts w:ascii="宋体" w:hAnsi="宋体"/>
                <w:color w:val="auto"/>
                <w:sz w:val="18"/>
                <w:szCs w:val="18"/>
                <w:highlight w:val="none"/>
              </w:rPr>
              <w:t>项目总工</w:t>
            </w:r>
          </w:p>
          <w:p w14:paraId="651F5CD3">
            <w:pPr>
              <w:jc w:val="center"/>
              <w:rPr>
                <w:rFonts w:ascii="宋体" w:hAnsi="宋体"/>
                <w:color w:val="auto"/>
                <w:sz w:val="18"/>
                <w:szCs w:val="18"/>
                <w:highlight w:val="none"/>
              </w:rPr>
            </w:pPr>
            <w:r>
              <w:rPr>
                <w:rFonts w:ascii="宋体" w:hAnsi="宋体"/>
                <w:color w:val="auto"/>
                <w:sz w:val="18"/>
                <w:szCs w:val="18"/>
                <w:highlight w:val="none"/>
              </w:rPr>
              <w:t>任职资格与业绩</w:t>
            </w:r>
          </w:p>
        </w:tc>
        <w:tc>
          <w:tcPr>
            <w:tcW w:w="703" w:type="dxa"/>
            <w:tcBorders>
              <w:top w:val="single" w:color="auto" w:sz="4" w:space="0"/>
              <w:bottom w:val="single" w:color="auto" w:sz="4" w:space="0"/>
              <w:right w:val="single" w:color="auto" w:sz="4" w:space="0"/>
            </w:tcBorders>
            <w:noWrap w:val="0"/>
            <w:vAlign w:val="center"/>
          </w:tcPr>
          <w:p w14:paraId="20976AD5">
            <w:pPr>
              <w:jc w:val="center"/>
              <w:rPr>
                <w:rFonts w:ascii="宋体" w:hAnsi="宋体"/>
                <w:color w:val="auto"/>
                <w:sz w:val="18"/>
                <w:szCs w:val="18"/>
                <w:highlight w:val="none"/>
              </w:rPr>
            </w:pPr>
            <w:r>
              <w:rPr>
                <w:rFonts w:hint="eastAsia" w:ascii="宋体" w:hAnsi="宋体"/>
                <w:color w:val="auto"/>
                <w:sz w:val="18"/>
                <w:szCs w:val="18"/>
                <w:highlight w:val="none"/>
              </w:rPr>
              <w:t>12.5</w:t>
            </w:r>
          </w:p>
        </w:tc>
        <w:tc>
          <w:tcPr>
            <w:tcW w:w="4872" w:type="dxa"/>
            <w:tcBorders>
              <w:top w:val="single" w:color="auto" w:sz="4" w:space="0"/>
              <w:bottom w:val="single" w:color="auto" w:sz="4" w:space="0"/>
            </w:tcBorders>
            <w:noWrap w:val="0"/>
            <w:vAlign w:val="center"/>
          </w:tcPr>
          <w:p w14:paraId="524D6BFE">
            <w:pPr>
              <w:spacing w:line="240" w:lineRule="exact"/>
              <w:rPr>
                <w:rFonts w:hint="eastAsia" w:eastAsia="宋体"/>
                <w:color w:val="auto"/>
                <w:highlight w:val="none"/>
                <w:lang w:val="en-US" w:eastAsia="zh-CN"/>
              </w:rPr>
            </w:pPr>
            <w:r>
              <w:rPr>
                <w:rFonts w:ascii="宋体" w:hAnsi="宋体"/>
                <w:color w:val="auto"/>
                <w:sz w:val="18"/>
                <w:szCs w:val="18"/>
                <w:highlight w:val="none"/>
              </w:rPr>
              <w:t>满足资格审查条件（项目总工最低要求），得</w:t>
            </w:r>
            <w:r>
              <w:rPr>
                <w:rFonts w:hint="eastAsia" w:ascii="宋体" w:hAnsi="宋体"/>
                <w:color w:val="auto"/>
                <w:sz w:val="18"/>
                <w:szCs w:val="18"/>
                <w:highlight w:val="none"/>
                <w:lang w:val="en-US" w:eastAsia="zh-CN"/>
              </w:rPr>
              <w:t>12.5</w:t>
            </w:r>
            <w:r>
              <w:rPr>
                <w:rFonts w:ascii="宋体" w:hAnsi="宋体"/>
                <w:color w:val="auto"/>
                <w:sz w:val="18"/>
                <w:szCs w:val="18"/>
                <w:highlight w:val="none"/>
              </w:rPr>
              <w:t>分</w:t>
            </w:r>
            <w:r>
              <w:rPr>
                <w:rFonts w:hint="eastAsia" w:ascii="宋体" w:hAnsi="宋体"/>
                <w:color w:val="auto"/>
                <w:sz w:val="18"/>
                <w:szCs w:val="18"/>
                <w:highlight w:val="none"/>
              </w:rPr>
              <w:t>，</w:t>
            </w:r>
            <w:r>
              <w:rPr>
                <w:rFonts w:ascii="宋体" w:hAnsi="宋体"/>
                <w:color w:val="auto"/>
                <w:sz w:val="18"/>
                <w:szCs w:val="18"/>
                <w:highlight w:val="none"/>
              </w:rPr>
              <w:t>加分情况如下：</w:t>
            </w:r>
            <w:r>
              <w:rPr>
                <w:rFonts w:hint="eastAsia" w:ascii="宋体" w:hAnsi="宋体"/>
                <w:color w:val="auto"/>
                <w:sz w:val="18"/>
                <w:szCs w:val="18"/>
                <w:highlight w:val="none"/>
                <w:lang w:val="en-US" w:eastAsia="zh-CN"/>
              </w:rPr>
              <w:t>/</w:t>
            </w:r>
          </w:p>
        </w:tc>
      </w:tr>
      <w:tr w14:paraId="0DC0D95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259" w:hRule="atLeast"/>
          <w:jc w:val="center"/>
        </w:trPr>
        <w:tc>
          <w:tcPr>
            <w:tcW w:w="656" w:type="dxa"/>
            <w:vMerge w:val="restart"/>
            <w:tcBorders>
              <w:right w:val="single" w:color="auto" w:sz="4" w:space="0"/>
            </w:tcBorders>
            <w:noWrap w:val="0"/>
            <w:vAlign w:val="center"/>
          </w:tcPr>
          <w:p w14:paraId="3739FFE6">
            <w:pPr>
              <w:spacing w:line="0" w:lineRule="atLeast"/>
              <w:jc w:val="center"/>
              <w:rPr>
                <w:rFonts w:ascii="宋体" w:hAnsi="宋体"/>
                <w:color w:val="auto"/>
                <w:sz w:val="18"/>
                <w:szCs w:val="18"/>
                <w:highlight w:val="none"/>
              </w:rPr>
            </w:pPr>
            <w:r>
              <w:rPr>
                <w:rFonts w:ascii="宋体" w:hAnsi="宋体"/>
                <w:color w:val="auto"/>
                <w:sz w:val="18"/>
                <w:szCs w:val="18"/>
                <w:highlight w:val="none"/>
              </w:rPr>
              <w:t>2.2.2（</w:t>
            </w:r>
            <w:r>
              <w:rPr>
                <w:rFonts w:hint="eastAsia" w:ascii="宋体" w:hAnsi="宋体"/>
                <w:color w:val="auto"/>
                <w:sz w:val="18"/>
                <w:szCs w:val="18"/>
                <w:highlight w:val="none"/>
              </w:rPr>
              <w:t>3</w:t>
            </w:r>
            <w:r>
              <w:rPr>
                <w:rFonts w:ascii="宋体" w:hAnsi="宋体"/>
                <w:color w:val="auto"/>
                <w:sz w:val="18"/>
                <w:szCs w:val="18"/>
                <w:highlight w:val="none"/>
              </w:rPr>
              <w:t>）</w:t>
            </w:r>
          </w:p>
        </w:tc>
        <w:tc>
          <w:tcPr>
            <w:tcW w:w="489" w:type="dxa"/>
            <w:vMerge w:val="restart"/>
            <w:tcBorders>
              <w:left w:val="single" w:color="auto" w:sz="4" w:space="0"/>
              <w:right w:val="single" w:color="auto" w:sz="4" w:space="0"/>
            </w:tcBorders>
            <w:noWrap w:val="0"/>
            <w:vAlign w:val="center"/>
          </w:tcPr>
          <w:p w14:paraId="5E63A631">
            <w:pPr>
              <w:spacing w:line="0" w:lineRule="atLeast"/>
              <w:jc w:val="center"/>
              <w:rPr>
                <w:rFonts w:ascii="宋体" w:hAnsi="宋体"/>
                <w:color w:val="auto"/>
                <w:sz w:val="18"/>
                <w:szCs w:val="18"/>
                <w:highlight w:val="none"/>
              </w:rPr>
            </w:pPr>
            <w:r>
              <w:rPr>
                <w:rFonts w:hint="eastAsia" w:ascii="宋体" w:hAnsi="宋体"/>
                <w:color w:val="auto"/>
                <w:sz w:val="18"/>
                <w:szCs w:val="18"/>
                <w:highlight w:val="none"/>
              </w:rPr>
              <w:t>其他因素</w:t>
            </w:r>
          </w:p>
        </w:tc>
        <w:tc>
          <w:tcPr>
            <w:tcW w:w="491" w:type="dxa"/>
            <w:tcBorders>
              <w:top w:val="single" w:color="auto" w:sz="6" w:space="0"/>
              <w:left w:val="single" w:color="auto" w:sz="4" w:space="0"/>
            </w:tcBorders>
            <w:noWrap w:val="0"/>
            <w:vAlign w:val="center"/>
          </w:tcPr>
          <w:p w14:paraId="0EAC14A4">
            <w:pPr>
              <w:spacing w:line="0" w:lineRule="atLeast"/>
              <w:jc w:val="center"/>
              <w:rPr>
                <w:rFonts w:ascii="宋体" w:hAnsi="宋体"/>
                <w:color w:val="auto"/>
                <w:sz w:val="18"/>
                <w:szCs w:val="18"/>
                <w:highlight w:val="none"/>
              </w:rPr>
            </w:pPr>
            <w:r>
              <w:rPr>
                <w:rFonts w:hint="eastAsia" w:ascii="宋体" w:hAnsi="宋体"/>
                <w:color w:val="auto"/>
                <w:sz w:val="18"/>
                <w:szCs w:val="18"/>
                <w:highlight w:val="none"/>
              </w:rPr>
              <w:t>技术能力</w:t>
            </w:r>
          </w:p>
        </w:tc>
        <w:tc>
          <w:tcPr>
            <w:tcW w:w="1000" w:type="dxa"/>
            <w:tcBorders>
              <w:top w:val="single" w:color="auto" w:sz="6" w:space="0"/>
            </w:tcBorders>
            <w:noWrap w:val="0"/>
            <w:vAlign w:val="center"/>
          </w:tcPr>
          <w:p w14:paraId="4854EF54">
            <w:pPr>
              <w:spacing w:line="0" w:lineRule="atLeast"/>
              <w:jc w:val="center"/>
              <w:rPr>
                <w:rFonts w:ascii="宋体" w:hAnsi="宋体"/>
                <w:color w:val="auto"/>
                <w:sz w:val="18"/>
                <w:szCs w:val="18"/>
                <w:highlight w:val="none"/>
              </w:rPr>
            </w:pPr>
            <w:r>
              <w:rPr>
                <w:rFonts w:hint="eastAsia" w:ascii="宋体" w:hAnsi="宋体"/>
                <w:color w:val="auto"/>
                <w:sz w:val="18"/>
                <w:szCs w:val="18"/>
                <w:highlight w:val="none"/>
              </w:rPr>
              <w:t>10分</w:t>
            </w:r>
          </w:p>
        </w:tc>
        <w:tc>
          <w:tcPr>
            <w:tcW w:w="1532" w:type="dxa"/>
            <w:tcBorders>
              <w:top w:val="single" w:color="auto" w:sz="6" w:space="0"/>
              <w:bottom w:val="single" w:color="auto" w:sz="4" w:space="0"/>
            </w:tcBorders>
            <w:noWrap w:val="0"/>
            <w:vAlign w:val="center"/>
          </w:tcPr>
          <w:p w14:paraId="72895FC4">
            <w:pPr>
              <w:spacing w:line="0" w:lineRule="atLeast"/>
              <w:jc w:val="center"/>
              <w:rPr>
                <w:rFonts w:ascii="宋体" w:hAnsi="宋体"/>
                <w:color w:val="auto"/>
                <w:sz w:val="18"/>
                <w:szCs w:val="18"/>
                <w:highlight w:val="none"/>
              </w:rPr>
            </w:pPr>
            <w:r>
              <w:rPr>
                <w:rFonts w:hint="eastAsia" w:ascii="宋体" w:hAnsi="宋体"/>
                <w:color w:val="auto"/>
                <w:sz w:val="18"/>
                <w:szCs w:val="18"/>
                <w:highlight w:val="none"/>
              </w:rPr>
              <w:t>技术能力</w:t>
            </w:r>
          </w:p>
        </w:tc>
        <w:tc>
          <w:tcPr>
            <w:tcW w:w="703" w:type="dxa"/>
            <w:tcBorders>
              <w:top w:val="single" w:color="auto" w:sz="6" w:space="0"/>
              <w:bottom w:val="single" w:color="auto" w:sz="4" w:space="0"/>
              <w:right w:val="single" w:color="auto" w:sz="4" w:space="0"/>
            </w:tcBorders>
            <w:noWrap w:val="0"/>
            <w:vAlign w:val="center"/>
          </w:tcPr>
          <w:p w14:paraId="3371DCA7">
            <w:pPr>
              <w:jc w:val="center"/>
              <w:rPr>
                <w:rFonts w:ascii="宋体" w:hAnsi="宋体"/>
                <w:color w:val="auto"/>
                <w:sz w:val="18"/>
                <w:szCs w:val="18"/>
                <w:highlight w:val="none"/>
              </w:rPr>
            </w:pPr>
            <w:r>
              <w:rPr>
                <w:rFonts w:hint="eastAsia" w:ascii="宋体" w:hAnsi="宋体"/>
                <w:color w:val="auto"/>
                <w:sz w:val="18"/>
                <w:szCs w:val="18"/>
                <w:highlight w:val="none"/>
              </w:rPr>
              <w:t>10</w:t>
            </w:r>
          </w:p>
        </w:tc>
        <w:tc>
          <w:tcPr>
            <w:tcW w:w="4872" w:type="dxa"/>
            <w:tcBorders>
              <w:top w:val="single" w:color="auto" w:sz="6" w:space="0"/>
              <w:left w:val="single" w:color="auto" w:sz="4" w:space="0"/>
              <w:bottom w:val="single" w:color="auto" w:sz="4" w:space="0"/>
            </w:tcBorders>
            <w:noWrap w:val="0"/>
            <w:vAlign w:val="center"/>
          </w:tcPr>
          <w:p w14:paraId="0D22FD3B">
            <w:pPr>
              <w:rPr>
                <w:rFonts w:ascii="宋体" w:hAnsi="宋体"/>
                <w:color w:val="auto"/>
                <w:sz w:val="18"/>
                <w:szCs w:val="18"/>
                <w:highlight w:val="none"/>
              </w:rPr>
            </w:pPr>
            <w:r>
              <w:rPr>
                <w:rFonts w:hint="eastAsia" w:ascii="宋体" w:hAnsi="宋体"/>
                <w:color w:val="auto"/>
                <w:sz w:val="18"/>
                <w:szCs w:val="18"/>
                <w:highlight w:val="none"/>
              </w:rPr>
              <w:t>投标人均得10分。</w:t>
            </w:r>
          </w:p>
        </w:tc>
      </w:tr>
      <w:tr w14:paraId="13686AD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88" w:hRule="atLeast"/>
          <w:jc w:val="center"/>
        </w:trPr>
        <w:tc>
          <w:tcPr>
            <w:tcW w:w="656" w:type="dxa"/>
            <w:vMerge w:val="continue"/>
            <w:tcBorders>
              <w:bottom w:val="single" w:color="auto" w:sz="6" w:space="0"/>
              <w:right w:val="single" w:color="auto" w:sz="4" w:space="0"/>
            </w:tcBorders>
            <w:noWrap w:val="0"/>
            <w:vAlign w:val="center"/>
          </w:tcPr>
          <w:p w14:paraId="181153C4">
            <w:pPr>
              <w:spacing w:line="0" w:lineRule="atLeast"/>
              <w:jc w:val="center"/>
              <w:rPr>
                <w:rFonts w:ascii="宋体" w:hAnsi="宋体"/>
                <w:color w:val="auto"/>
                <w:sz w:val="18"/>
                <w:szCs w:val="18"/>
                <w:highlight w:val="none"/>
              </w:rPr>
            </w:pPr>
          </w:p>
        </w:tc>
        <w:tc>
          <w:tcPr>
            <w:tcW w:w="489" w:type="dxa"/>
            <w:vMerge w:val="continue"/>
            <w:tcBorders>
              <w:left w:val="single" w:color="auto" w:sz="4" w:space="0"/>
              <w:bottom w:val="single" w:color="auto" w:sz="6" w:space="0"/>
              <w:right w:val="single" w:color="auto" w:sz="4" w:space="0"/>
            </w:tcBorders>
            <w:noWrap w:val="0"/>
            <w:vAlign w:val="center"/>
          </w:tcPr>
          <w:p w14:paraId="63159FD1">
            <w:pPr>
              <w:spacing w:line="0" w:lineRule="atLeast"/>
              <w:jc w:val="center"/>
              <w:rPr>
                <w:rFonts w:ascii="宋体" w:hAnsi="宋体"/>
                <w:color w:val="auto"/>
                <w:sz w:val="18"/>
                <w:szCs w:val="18"/>
                <w:highlight w:val="none"/>
              </w:rPr>
            </w:pPr>
          </w:p>
        </w:tc>
        <w:tc>
          <w:tcPr>
            <w:tcW w:w="491" w:type="dxa"/>
            <w:vMerge w:val="restart"/>
            <w:tcBorders>
              <w:top w:val="single" w:color="auto" w:sz="2" w:space="0"/>
              <w:left w:val="single" w:color="auto" w:sz="4" w:space="0"/>
              <w:bottom w:val="single" w:color="auto" w:sz="6" w:space="0"/>
            </w:tcBorders>
            <w:noWrap w:val="0"/>
            <w:vAlign w:val="center"/>
          </w:tcPr>
          <w:p w14:paraId="0810BCE3">
            <w:pPr>
              <w:spacing w:line="0" w:lineRule="atLeast"/>
              <w:jc w:val="center"/>
              <w:rPr>
                <w:rFonts w:ascii="宋体" w:hAnsi="宋体"/>
                <w:color w:val="auto"/>
                <w:sz w:val="18"/>
                <w:szCs w:val="18"/>
                <w:highlight w:val="none"/>
              </w:rPr>
            </w:pPr>
            <w:r>
              <w:rPr>
                <w:rFonts w:hint="eastAsia" w:ascii="宋体" w:hAnsi="宋体"/>
                <w:color w:val="auto"/>
                <w:sz w:val="18"/>
                <w:szCs w:val="18"/>
                <w:highlight w:val="none"/>
              </w:rPr>
              <w:t>履约信誉</w:t>
            </w:r>
          </w:p>
        </w:tc>
        <w:tc>
          <w:tcPr>
            <w:tcW w:w="1000" w:type="dxa"/>
            <w:vMerge w:val="restart"/>
            <w:tcBorders>
              <w:top w:val="single" w:color="auto" w:sz="2" w:space="0"/>
              <w:bottom w:val="single" w:color="auto" w:sz="6" w:space="0"/>
            </w:tcBorders>
            <w:noWrap w:val="0"/>
            <w:vAlign w:val="center"/>
          </w:tcPr>
          <w:p w14:paraId="074B265A">
            <w:pPr>
              <w:spacing w:line="0" w:lineRule="atLeast"/>
              <w:jc w:val="center"/>
              <w:rPr>
                <w:rFonts w:ascii="宋体" w:hAnsi="宋体"/>
                <w:color w:val="auto"/>
                <w:sz w:val="18"/>
                <w:szCs w:val="18"/>
                <w:highlight w:val="none"/>
              </w:rPr>
            </w:pPr>
            <w:r>
              <w:rPr>
                <w:rFonts w:hint="eastAsia" w:ascii="宋体" w:hAnsi="宋体"/>
                <w:color w:val="auto"/>
                <w:sz w:val="18"/>
                <w:szCs w:val="18"/>
                <w:highlight w:val="none"/>
              </w:rPr>
              <w:t>25分</w:t>
            </w:r>
          </w:p>
        </w:tc>
        <w:tc>
          <w:tcPr>
            <w:tcW w:w="1532" w:type="dxa"/>
            <w:tcBorders>
              <w:top w:val="single" w:color="auto" w:sz="2" w:space="0"/>
              <w:bottom w:val="single" w:color="auto" w:sz="2" w:space="0"/>
            </w:tcBorders>
            <w:noWrap w:val="0"/>
            <w:vAlign w:val="center"/>
          </w:tcPr>
          <w:p w14:paraId="39881FEE">
            <w:pPr>
              <w:spacing w:line="0" w:lineRule="atLeast"/>
              <w:jc w:val="center"/>
              <w:rPr>
                <w:rFonts w:ascii="宋体" w:hAnsi="宋体"/>
                <w:color w:val="auto"/>
                <w:sz w:val="18"/>
                <w:szCs w:val="18"/>
                <w:highlight w:val="none"/>
              </w:rPr>
            </w:pPr>
            <w:r>
              <w:rPr>
                <w:rFonts w:hint="eastAsia" w:ascii="宋体" w:hAnsi="宋体"/>
                <w:color w:val="auto"/>
                <w:sz w:val="18"/>
                <w:szCs w:val="18"/>
                <w:highlight w:val="none"/>
              </w:rPr>
              <w:t>信用评价</w:t>
            </w:r>
          </w:p>
        </w:tc>
        <w:tc>
          <w:tcPr>
            <w:tcW w:w="703" w:type="dxa"/>
            <w:tcBorders>
              <w:top w:val="single" w:color="auto" w:sz="2" w:space="0"/>
              <w:bottom w:val="single" w:color="auto" w:sz="2" w:space="0"/>
              <w:right w:val="single" w:color="auto" w:sz="4" w:space="0"/>
            </w:tcBorders>
            <w:noWrap w:val="0"/>
            <w:vAlign w:val="center"/>
          </w:tcPr>
          <w:p w14:paraId="5B52D0B5">
            <w:pPr>
              <w:jc w:val="center"/>
              <w:rPr>
                <w:rFonts w:ascii="宋体" w:hAnsi="宋体"/>
                <w:color w:val="auto"/>
                <w:sz w:val="18"/>
                <w:szCs w:val="18"/>
                <w:highlight w:val="none"/>
              </w:rPr>
            </w:pPr>
            <w:r>
              <w:rPr>
                <w:rFonts w:hint="eastAsia" w:ascii="宋体" w:hAnsi="宋体"/>
                <w:color w:val="auto"/>
                <w:sz w:val="18"/>
                <w:szCs w:val="18"/>
                <w:highlight w:val="none"/>
              </w:rPr>
              <w:t>10</w:t>
            </w:r>
          </w:p>
        </w:tc>
        <w:tc>
          <w:tcPr>
            <w:tcW w:w="4872" w:type="dxa"/>
            <w:tcBorders>
              <w:top w:val="single" w:color="auto" w:sz="2" w:space="0"/>
              <w:left w:val="single" w:color="auto" w:sz="4" w:space="0"/>
              <w:bottom w:val="single" w:color="auto" w:sz="2" w:space="0"/>
            </w:tcBorders>
            <w:noWrap w:val="0"/>
            <w:vAlign w:val="center"/>
          </w:tcPr>
          <w:p w14:paraId="56830B5B">
            <w:pPr>
              <w:spacing w:line="276" w:lineRule="auto"/>
              <w:rPr>
                <w:rFonts w:ascii="宋体" w:hAnsi="宋体"/>
                <w:color w:val="auto"/>
                <w:sz w:val="18"/>
                <w:szCs w:val="18"/>
                <w:highlight w:val="none"/>
              </w:rPr>
            </w:pPr>
            <w:r>
              <w:rPr>
                <w:rFonts w:hint="eastAsia" w:ascii="宋体" w:hAnsi="宋体"/>
                <w:color w:val="auto"/>
                <w:sz w:val="18"/>
                <w:szCs w:val="18"/>
                <w:highlight w:val="none"/>
              </w:rPr>
              <w:t>满足资格审查条件，得6分；加分条件如下：</w:t>
            </w:r>
          </w:p>
          <w:p w14:paraId="6DD50013">
            <w:pPr>
              <w:spacing w:line="276" w:lineRule="auto"/>
              <w:rPr>
                <w:rFonts w:ascii="宋体" w:hAnsi="宋体"/>
                <w:color w:val="auto"/>
                <w:sz w:val="18"/>
                <w:szCs w:val="18"/>
                <w:highlight w:val="none"/>
              </w:rPr>
            </w:pPr>
            <w:r>
              <w:rPr>
                <w:rFonts w:hint="eastAsia" w:ascii="宋体" w:hAnsi="宋体"/>
                <w:color w:val="auto"/>
                <w:sz w:val="18"/>
                <w:szCs w:val="18"/>
                <w:highlight w:val="none"/>
              </w:rPr>
              <w:t>①在202</w:t>
            </w:r>
            <w:r>
              <w:rPr>
                <w:rFonts w:hint="eastAsia" w:ascii="宋体" w:hAnsi="宋体"/>
                <w:color w:val="auto"/>
                <w:sz w:val="18"/>
                <w:szCs w:val="18"/>
                <w:highlight w:val="none"/>
                <w:lang w:val="en-US" w:eastAsia="zh-CN"/>
              </w:rPr>
              <w:t>3</w:t>
            </w:r>
            <w:r>
              <w:rPr>
                <w:rFonts w:hint="eastAsia" w:ascii="宋体" w:hAnsi="宋体"/>
                <w:color w:val="auto"/>
                <w:sz w:val="18"/>
                <w:szCs w:val="18"/>
                <w:highlight w:val="none"/>
              </w:rPr>
              <w:t>年度黑龙江省交通运输厅公路施工企业信用评价或202</w:t>
            </w:r>
            <w:r>
              <w:rPr>
                <w:rFonts w:hint="eastAsia" w:ascii="宋体" w:hAnsi="宋体"/>
                <w:color w:val="auto"/>
                <w:sz w:val="18"/>
                <w:szCs w:val="18"/>
                <w:highlight w:val="none"/>
                <w:lang w:val="en-US" w:eastAsia="zh-CN"/>
              </w:rPr>
              <w:t>3</w:t>
            </w:r>
            <w:r>
              <w:rPr>
                <w:rFonts w:hint="eastAsia" w:ascii="宋体" w:hAnsi="宋体"/>
                <w:color w:val="auto"/>
                <w:sz w:val="18"/>
                <w:szCs w:val="18"/>
                <w:highlight w:val="none"/>
              </w:rPr>
              <w:t>年交通运输部公路施工企业全国综合信用评价中被评定为A级的，加</w:t>
            </w:r>
            <w:r>
              <w:rPr>
                <w:rFonts w:hint="eastAsia" w:ascii="宋体" w:hAnsi="宋体"/>
                <w:color w:val="auto"/>
                <w:sz w:val="18"/>
                <w:szCs w:val="18"/>
                <w:highlight w:val="none"/>
                <w:lang w:val="en-US" w:eastAsia="zh-CN"/>
              </w:rPr>
              <w:t>4</w:t>
            </w:r>
            <w:r>
              <w:rPr>
                <w:rFonts w:hint="eastAsia" w:ascii="宋体" w:hAnsi="宋体"/>
                <w:color w:val="auto"/>
                <w:sz w:val="18"/>
                <w:szCs w:val="18"/>
                <w:highlight w:val="none"/>
              </w:rPr>
              <w:t>分；</w:t>
            </w:r>
          </w:p>
          <w:p w14:paraId="02E8575E">
            <w:pPr>
              <w:spacing w:line="276" w:lineRule="auto"/>
              <w:rPr>
                <w:rFonts w:ascii="宋体" w:hAnsi="宋体"/>
                <w:color w:val="auto"/>
                <w:sz w:val="18"/>
                <w:szCs w:val="18"/>
                <w:highlight w:val="none"/>
              </w:rPr>
            </w:pPr>
            <w:r>
              <w:rPr>
                <w:rFonts w:hint="eastAsia" w:ascii="宋体" w:hAnsi="宋体"/>
                <w:color w:val="auto"/>
                <w:sz w:val="18"/>
                <w:szCs w:val="18"/>
                <w:highlight w:val="none"/>
              </w:rPr>
              <w:t>注：a.</w:t>
            </w:r>
            <w:bookmarkStart w:id="5" w:name="_GoBack"/>
            <w:bookmarkEnd w:id="5"/>
            <w:r>
              <w:rPr>
                <w:rFonts w:hint="eastAsia" w:ascii="宋体" w:hAnsi="宋体"/>
                <w:color w:val="auto"/>
                <w:sz w:val="18"/>
                <w:szCs w:val="18"/>
                <w:highlight w:val="none"/>
              </w:rPr>
              <w:t>本项最高加4分。</w:t>
            </w:r>
          </w:p>
          <w:p w14:paraId="5B41017F">
            <w:pPr>
              <w:spacing w:line="276" w:lineRule="auto"/>
              <w:rPr>
                <w:rFonts w:ascii="宋体" w:hAnsi="宋体"/>
                <w:color w:val="auto"/>
                <w:sz w:val="18"/>
                <w:szCs w:val="18"/>
                <w:highlight w:val="none"/>
              </w:rPr>
            </w:pPr>
            <w:r>
              <w:rPr>
                <w:rFonts w:hint="eastAsia" w:ascii="宋体" w:hAnsi="宋体"/>
                <w:color w:val="auto"/>
                <w:sz w:val="18"/>
                <w:szCs w:val="18"/>
                <w:highlight w:val="none"/>
              </w:rPr>
              <w:t>b.投标人未参加202</w:t>
            </w:r>
            <w:r>
              <w:rPr>
                <w:rFonts w:hint="eastAsia" w:ascii="宋体" w:hAnsi="宋体"/>
                <w:color w:val="auto"/>
                <w:sz w:val="18"/>
                <w:szCs w:val="18"/>
                <w:highlight w:val="none"/>
                <w:lang w:val="en-US" w:eastAsia="zh-CN"/>
              </w:rPr>
              <w:t>3</w:t>
            </w:r>
            <w:r>
              <w:rPr>
                <w:rFonts w:hint="eastAsia" w:ascii="宋体" w:hAnsi="宋体"/>
                <w:color w:val="auto"/>
                <w:sz w:val="18"/>
                <w:szCs w:val="18"/>
                <w:highlight w:val="none"/>
              </w:rPr>
              <w:t>年度黑龙江省交通运输厅公路施工企业信用评价或交通运输部202</w:t>
            </w:r>
            <w:r>
              <w:rPr>
                <w:rFonts w:hint="eastAsia" w:ascii="宋体" w:hAnsi="宋体"/>
                <w:color w:val="auto"/>
                <w:sz w:val="18"/>
                <w:szCs w:val="18"/>
                <w:highlight w:val="none"/>
                <w:lang w:val="en-US" w:eastAsia="zh-CN"/>
              </w:rPr>
              <w:t>3</w:t>
            </w:r>
            <w:r>
              <w:rPr>
                <w:rFonts w:hint="eastAsia" w:ascii="宋体" w:hAnsi="宋体"/>
                <w:color w:val="auto"/>
                <w:sz w:val="18"/>
                <w:szCs w:val="18"/>
                <w:highlight w:val="none"/>
              </w:rPr>
              <w:t>年公路施工企业全国综合信用评价的，采用202</w:t>
            </w:r>
            <w:r>
              <w:rPr>
                <w:rFonts w:hint="eastAsia" w:ascii="宋体" w:hAnsi="宋体"/>
                <w:color w:val="auto"/>
                <w:sz w:val="18"/>
                <w:szCs w:val="18"/>
                <w:highlight w:val="none"/>
                <w:lang w:val="en-US" w:eastAsia="zh-CN"/>
              </w:rPr>
              <w:t>2</w:t>
            </w:r>
            <w:r>
              <w:rPr>
                <w:rFonts w:hint="eastAsia" w:ascii="宋体" w:hAnsi="宋体"/>
                <w:color w:val="auto"/>
                <w:sz w:val="18"/>
                <w:szCs w:val="18"/>
                <w:highlight w:val="none"/>
              </w:rPr>
              <w:t>年黑龙江省交通运输厅公路施工企业信用评价或202</w:t>
            </w:r>
            <w:r>
              <w:rPr>
                <w:rFonts w:hint="eastAsia" w:ascii="宋体" w:hAnsi="宋体"/>
                <w:color w:val="auto"/>
                <w:sz w:val="18"/>
                <w:szCs w:val="18"/>
                <w:highlight w:val="none"/>
                <w:lang w:val="en-US" w:eastAsia="zh-CN"/>
              </w:rPr>
              <w:t>2</w:t>
            </w:r>
            <w:r>
              <w:rPr>
                <w:rFonts w:hint="eastAsia" w:ascii="宋体" w:hAnsi="宋体"/>
                <w:color w:val="auto"/>
                <w:sz w:val="18"/>
                <w:szCs w:val="18"/>
                <w:highlight w:val="none"/>
              </w:rPr>
              <w:t>年交通运输部公路施工企业全国综合信用评价结果。国务院有关部门许可资质的公路施工企业初次进入黑龙江省，其信用评价等级按照交通运输部公路施工企业全国综合信用评价结果确定；尚无交通运输部公路施工企业全国综合信用评价的企业，若无不良信用记录，按A级对待。（如果省级和部级评价等级不一致，以最高的信用评价等级认定）。</w:t>
            </w:r>
          </w:p>
        </w:tc>
      </w:tr>
      <w:tr w14:paraId="4AC049E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658" w:hRule="atLeast"/>
          <w:jc w:val="center"/>
        </w:trPr>
        <w:tc>
          <w:tcPr>
            <w:tcW w:w="656" w:type="dxa"/>
            <w:vMerge w:val="continue"/>
            <w:tcBorders>
              <w:right w:val="single" w:color="auto" w:sz="4" w:space="0"/>
            </w:tcBorders>
            <w:noWrap w:val="0"/>
            <w:vAlign w:val="center"/>
          </w:tcPr>
          <w:p w14:paraId="29E7712F">
            <w:pPr>
              <w:spacing w:line="0" w:lineRule="atLeast"/>
              <w:jc w:val="center"/>
              <w:rPr>
                <w:rFonts w:ascii="宋体" w:hAnsi="宋体"/>
                <w:color w:val="auto"/>
                <w:sz w:val="18"/>
                <w:szCs w:val="18"/>
                <w:highlight w:val="none"/>
              </w:rPr>
            </w:pPr>
          </w:p>
        </w:tc>
        <w:tc>
          <w:tcPr>
            <w:tcW w:w="489" w:type="dxa"/>
            <w:vMerge w:val="continue"/>
            <w:tcBorders>
              <w:left w:val="single" w:color="auto" w:sz="4" w:space="0"/>
              <w:right w:val="single" w:color="auto" w:sz="4" w:space="0"/>
            </w:tcBorders>
            <w:noWrap w:val="0"/>
            <w:vAlign w:val="center"/>
          </w:tcPr>
          <w:p w14:paraId="285C1E55">
            <w:pPr>
              <w:spacing w:line="0" w:lineRule="atLeast"/>
              <w:jc w:val="center"/>
              <w:rPr>
                <w:rFonts w:ascii="宋体" w:hAnsi="宋体"/>
                <w:color w:val="auto"/>
                <w:sz w:val="18"/>
                <w:szCs w:val="18"/>
                <w:highlight w:val="none"/>
              </w:rPr>
            </w:pPr>
          </w:p>
        </w:tc>
        <w:tc>
          <w:tcPr>
            <w:tcW w:w="491" w:type="dxa"/>
            <w:vMerge w:val="continue"/>
            <w:tcBorders>
              <w:left w:val="single" w:color="auto" w:sz="4" w:space="0"/>
            </w:tcBorders>
            <w:noWrap w:val="0"/>
            <w:vAlign w:val="center"/>
          </w:tcPr>
          <w:p w14:paraId="632FF03F">
            <w:pPr>
              <w:spacing w:line="0" w:lineRule="atLeast"/>
              <w:jc w:val="center"/>
              <w:rPr>
                <w:rFonts w:ascii="宋体" w:hAnsi="宋体"/>
                <w:color w:val="auto"/>
                <w:sz w:val="18"/>
                <w:szCs w:val="18"/>
                <w:highlight w:val="none"/>
              </w:rPr>
            </w:pPr>
          </w:p>
        </w:tc>
        <w:tc>
          <w:tcPr>
            <w:tcW w:w="1000" w:type="dxa"/>
            <w:vMerge w:val="continue"/>
            <w:noWrap w:val="0"/>
            <w:vAlign w:val="center"/>
          </w:tcPr>
          <w:p w14:paraId="0EB06D53">
            <w:pPr>
              <w:spacing w:line="0" w:lineRule="atLeast"/>
              <w:jc w:val="center"/>
              <w:rPr>
                <w:rFonts w:ascii="宋体" w:hAnsi="宋体"/>
                <w:color w:val="auto"/>
                <w:sz w:val="18"/>
                <w:szCs w:val="18"/>
                <w:highlight w:val="none"/>
              </w:rPr>
            </w:pPr>
          </w:p>
        </w:tc>
        <w:tc>
          <w:tcPr>
            <w:tcW w:w="1532" w:type="dxa"/>
            <w:tcBorders>
              <w:top w:val="single" w:color="auto" w:sz="2" w:space="0"/>
            </w:tcBorders>
            <w:noWrap w:val="0"/>
            <w:vAlign w:val="center"/>
          </w:tcPr>
          <w:p w14:paraId="491114BD">
            <w:pPr>
              <w:spacing w:line="0" w:lineRule="atLeast"/>
              <w:jc w:val="center"/>
              <w:rPr>
                <w:color w:val="auto"/>
                <w:sz w:val="18"/>
                <w:szCs w:val="18"/>
                <w:highlight w:val="none"/>
              </w:rPr>
            </w:pPr>
            <w:r>
              <w:rPr>
                <w:rFonts w:hint="eastAsia" w:ascii="宋体" w:hAnsi="宋体"/>
                <w:color w:val="auto"/>
                <w:sz w:val="18"/>
                <w:szCs w:val="18"/>
                <w:highlight w:val="none"/>
              </w:rPr>
              <w:t>企业业绩</w:t>
            </w:r>
          </w:p>
        </w:tc>
        <w:tc>
          <w:tcPr>
            <w:tcW w:w="703" w:type="dxa"/>
            <w:tcBorders>
              <w:top w:val="single" w:color="auto" w:sz="2" w:space="0"/>
              <w:right w:val="single" w:color="auto" w:sz="4" w:space="0"/>
            </w:tcBorders>
            <w:noWrap w:val="0"/>
            <w:vAlign w:val="center"/>
          </w:tcPr>
          <w:p w14:paraId="53176530">
            <w:pPr>
              <w:jc w:val="center"/>
              <w:rPr>
                <w:color w:val="auto"/>
                <w:sz w:val="18"/>
                <w:szCs w:val="18"/>
                <w:highlight w:val="none"/>
              </w:rPr>
            </w:pPr>
            <w:r>
              <w:rPr>
                <w:rFonts w:hint="eastAsia" w:ascii="宋体" w:hAnsi="宋体"/>
                <w:color w:val="auto"/>
                <w:sz w:val="18"/>
                <w:szCs w:val="18"/>
                <w:highlight w:val="none"/>
              </w:rPr>
              <w:t>15</w:t>
            </w:r>
          </w:p>
        </w:tc>
        <w:tc>
          <w:tcPr>
            <w:tcW w:w="4872" w:type="dxa"/>
            <w:tcBorders>
              <w:top w:val="single" w:color="auto" w:sz="2" w:space="0"/>
              <w:left w:val="single" w:color="auto" w:sz="4" w:space="0"/>
            </w:tcBorders>
            <w:noWrap w:val="0"/>
            <w:vAlign w:val="center"/>
          </w:tcPr>
          <w:p w14:paraId="05C2E9A8">
            <w:pPr>
              <w:spacing w:line="276" w:lineRule="auto"/>
              <w:rPr>
                <w:rFonts w:ascii="宋体" w:hAnsi="宋体" w:eastAsia="宋体"/>
                <w:color w:val="auto"/>
                <w:sz w:val="18"/>
                <w:szCs w:val="18"/>
                <w:highlight w:val="none"/>
              </w:rPr>
            </w:pPr>
            <w:r>
              <w:rPr>
                <w:rFonts w:ascii="宋体" w:hAnsi="宋体" w:eastAsia="宋体"/>
                <w:color w:val="auto"/>
                <w:sz w:val="18"/>
                <w:szCs w:val="18"/>
                <w:highlight w:val="none"/>
              </w:rPr>
              <w:t>满足资格审查条件（项目</w:t>
            </w:r>
            <w:r>
              <w:rPr>
                <w:rFonts w:hint="eastAsia" w:ascii="宋体" w:hAnsi="宋体" w:eastAsia="宋体"/>
                <w:color w:val="auto"/>
                <w:sz w:val="18"/>
                <w:szCs w:val="18"/>
                <w:highlight w:val="none"/>
              </w:rPr>
              <w:t>业绩</w:t>
            </w:r>
            <w:r>
              <w:rPr>
                <w:rFonts w:ascii="宋体" w:hAnsi="宋体" w:eastAsia="宋体"/>
                <w:color w:val="auto"/>
                <w:sz w:val="18"/>
                <w:szCs w:val="18"/>
                <w:highlight w:val="none"/>
              </w:rPr>
              <w:t>最低要求），得</w:t>
            </w:r>
            <w:r>
              <w:rPr>
                <w:rFonts w:hint="eastAsia" w:ascii="宋体" w:hAnsi="宋体" w:eastAsia="宋体"/>
                <w:color w:val="auto"/>
                <w:sz w:val="18"/>
                <w:szCs w:val="18"/>
                <w:highlight w:val="none"/>
                <w:lang w:val="en-US" w:eastAsia="zh-CN"/>
              </w:rPr>
              <w:t>15</w:t>
            </w:r>
            <w:r>
              <w:rPr>
                <w:rFonts w:ascii="宋体" w:hAnsi="宋体" w:eastAsia="宋体"/>
                <w:color w:val="auto"/>
                <w:sz w:val="18"/>
                <w:szCs w:val="18"/>
                <w:highlight w:val="none"/>
              </w:rPr>
              <w:t>分</w:t>
            </w:r>
            <w:r>
              <w:rPr>
                <w:rFonts w:hint="eastAsia" w:ascii="宋体" w:hAnsi="宋体" w:eastAsia="宋体"/>
                <w:color w:val="auto"/>
                <w:sz w:val="18"/>
                <w:szCs w:val="18"/>
                <w:highlight w:val="none"/>
              </w:rPr>
              <w:t>，在满足最低资格要求基础上，</w:t>
            </w:r>
            <w:r>
              <w:rPr>
                <w:rFonts w:ascii="宋体" w:hAnsi="宋体" w:eastAsia="宋体"/>
                <w:color w:val="auto"/>
                <w:sz w:val="18"/>
                <w:szCs w:val="18"/>
                <w:highlight w:val="none"/>
              </w:rPr>
              <w:t>加分情况如下：</w:t>
            </w:r>
          </w:p>
          <w:p w14:paraId="5C978FE7">
            <w:pPr>
              <w:pStyle w:val="2"/>
              <w:ind w:left="0" w:leftChars="0" w:firstLine="0" w:firstLineChars="0"/>
              <w:rPr>
                <w:rFonts w:hint="eastAsia" w:eastAsia="宋体"/>
                <w:color w:val="auto"/>
                <w:highlight w:val="none"/>
                <w:lang w:val="en-US" w:eastAsia="zh-CN"/>
              </w:rPr>
            </w:pPr>
            <w:r>
              <w:rPr>
                <w:rFonts w:hint="eastAsia" w:ascii="宋体" w:hAnsi="宋体" w:eastAsia="宋体" w:cs="宋体"/>
                <w:color w:val="auto"/>
                <w:sz w:val="18"/>
                <w:szCs w:val="18"/>
                <w:highlight w:val="none"/>
                <w:lang w:val="en-US" w:eastAsia="zh-CN"/>
              </w:rPr>
              <w:t>/</w:t>
            </w:r>
          </w:p>
        </w:tc>
      </w:tr>
    </w:tbl>
    <w:p w14:paraId="189D602B">
      <w:pPr>
        <w:pStyle w:val="2"/>
      </w:pPr>
    </w:p>
    <w:sectPr>
      <w:pgSz w:w="11906" w:h="16838"/>
      <w:pgMar w:top="1440" w:right="1800" w:bottom="1440"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644796"/>
    <w:rsid w:val="16644796"/>
    <w:rsid w:val="3D6F0EF6"/>
    <w:rsid w:val="4B904E89"/>
    <w:rsid w:val="58D05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qFormat/>
    <w:uiPriority w:val="0"/>
    <w:pPr>
      <w:keepNext/>
      <w:keepLines/>
      <w:spacing w:before="260" w:after="260" w:line="416" w:lineRule="auto"/>
      <w:outlineLvl w:val="2"/>
    </w:pPr>
    <w:rPr>
      <w:b/>
      <w:bCs/>
      <w:sz w:val="32"/>
      <w:szCs w:val="32"/>
    </w:rPr>
  </w:style>
  <w:style w:type="character" w:default="1" w:styleId="11">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Body Text"/>
    <w:basedOn w:val="1"/>
    <w:next w:val="5"/>
    <w:qFormat/>
    <w:uiPriority w:val="0"/>
    <w:pPr>
      <w:spacing w:after="120"/>
    </w:pPr>
  </w:style>
  <w:style w:type="paragraph" w:styleId="5">
    <w:name w:val="Date"/>
    <w:basedOn w:val="1"/>
    <w:next w:val="1"/>
    <w:qFormat/>
    <w:uiPriority w:val="0"/>
    <w:rPr>
      <w:sz w:val="24"/>
      <w:szCs w:val="20"/>
    </w:rPr>
  </w:style>
  <w:style w:type="paragraph" w:styleId="8">
    <w:name w:val="footer"/>
    <w:basedOn w:val="1"/>
    <w:qFormat/>
    <w:uiPriority w:val="99"/>
    <w:pPr>
      <w:tabs>
        <w:tab w:val="center" w:pos="4153"/>
        <w:tab w:val="right" w:pos="8306"/>
      </w:tabs>
      <w:snapToGrid w:val="0"/>
      <w:jc w:val="center"/>
    </w:pPr>
    <w:rPr>
      <w:sz w:val="18"/>
      <w:szCs w:val="18"/>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24</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2024-11-28T06:01:00Z</dcterms:created>
  <dc:creator>Administrator</dc:creator>
  <cp:lastModifiedBy>Administrator</cp:lastModifiedBy>
  <dcterms:modified xsi:type="dcterms:W3CDTF">2024-11-28T07:16:54Z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9E1A600230A943FEA738111815E66C00_11</vt:lpwstr>
  </property>
</Properties>
</file>